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color w:val="000000"/>
        </w:rPr>
      </w:pPr>
      <w:bookmarkStart w:id="19" w:name="_GoBack"/>
      <w:bookmarkEnd w:id="19"/>
      <w:r>
        <w:rPr>
          <w:color w:val="000000"/>
        </w:rPr>
        <w:t xml:space="preserve"> </w:t>
      </w:r>
    </w:p>
    <w:p>
      <w:pPr>
        <w:rPr>
          <w:color w:val="000000"/>
        </w:rPr>
      </w:pPr>
    </w:p>
    <w:p>
      <w:pPr>
        <w:rPr>
          <w:color w:val="000000"/>
        </w:rPr>
      </w:pPr>
    </w:p>
    <w:p>
      <w:pPr>
        <w:rPr>
          <w:color w:val="000000"/>
        </w:rPr>
      </w:pPr>
    </w:p>
    <w:p>
      <w:pPr>
        <w:rPr>
          <w:color w:val="000000"/>
        </w:rPr>
      </w:pPr>
    </w:p>
    <w:p>
      <w:pPr>
        <w:rPr>
          <w:color w:val="000000"/>
        </w:rPr>
      </w:pPr>
    </w:p>
    <w:p>
      <w:pPr>
        <w:jc w:val="center"/>
        <w:rPr>
          <w:color w:val="000000"/>
        </w:rPr>
      </w:pPr>
      <w:r>
        <w:rPr>
          <w:rFonts w:eastAsia="黑体"/>
          <w:color w:val="000000"/>
          <w:sz w:val="48"/>
          <w:szCs w:val="48"/>
        </w:rPr>
        <w:t xml:space="preserve"> 建设项目环境影响报告表</w:t>
      </w:r>
    </w:p>
    <w:p>
      <w:pPr>
        <w:jc w:val="center"/>
        <w:rPr>
          <w:rFonts w:hint="eastAsia"/>
          <w:color w:val="000000"/>
          <w:sz w:val="30"/>
          <w:szCs w:val="30"/>
        </w:rPr>
      </w:pPr>
    </w:p>
    <w:p>
      <w:pPr>
        <w:jc w:val="center"/>
        <w:rPr>
          <w:color w:val="000000"/>
          <w:sz w:val="30"/>
          <w:szCs w:val="30"/>
        </w:rPr>
      </w:pPr>
      <w:r>
        <w:rPr>
          <w:rFonts w:hint="eastAsia"/>
          <w:color w:val="000000"/>
          <w:sz w:val="30"/>
          <w:szCs w:val="30"/>
        </w:rPr>
        <w:t>工业类</w:t>
      </w: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spacing w:before="312" w:beforeLines="100"/>
        <w:ind w:firstLine="1120" w:firstLineChars="350"/>
        <w:rPr>
          <w:color w:val="000000"/>
          <w:sz w:val="32"/>
          <w:szCs w:val="32"/>
          <w:u w:val="single"/>
        </w:rPr>
      </w:pPr>
      <w:r>
        <w:rPr>
          <w:color w:val="000000"/>
          <w:sz w:val="32"/>
          <w:szCs w:val="32"/>
        </w:rPr>
        <w:t xml:space="preserve">项 目 名 称： </w:t>
      </w:r>
      <w:r>
        <w:rPr>
          <w:color w:val="000000"/>
          <w:sz w:val="32"/>
          <w:szCs w:val="32"/>
          <w:u w:val="single"/>
        </w:rPr>
        <w:t xml:space="preserve">  雨花物流自动化二期项目  </w:t>
      </w:r>
    </w:p>
    <w:p>
      <w:pPr>
        <w:spacing w:before="312" w:beforeLines="100"/>
        <w:ind w:left="1619" w:hanging="1619" w:hangingChars="506"/>
        <w:jc w:val="center"/>
        <w:rPr>
          <w:color w:val="000000"/>
          <w:sz w:val="32"/>
          <w:szCs w:val="32"/>
          <w:u w:val="single"/>
        </w:rPr>
      </w:pPr>
      <w:r>
        <w:rPr>
          <w:color w:val="000000"/>
          <w:sz w:val="32"/>
          <w:szCs w:val="32"/>
        </w:rPr>
        <w:t>建设单位(盖章)：</w:t>
      </w:r>
      <w:r>
        <w:rPr>
          <w:color w:val="000000"/>
          <w:sz w:val="32"/>
          <w:szCs w:val="32"/>
          <w:u w:val="single"/>
        </w:rPr>
        <w:t xml:space="preserve">  南京鼎邦网络科技有限公司  </w:t>
      </w:r>
    </w:p>
    <w:p>
      <w:pPr>
        <w:ind w:left="1619" w:hanging="1619" w:hangingChars="506"/>
        <w:rPr>
          <w:color w:val="000000"/>
          <w:sz w:val="32"/>
          <w:szCs w:val="32"/>
        </w:rPr>
      </w:pPr>
    </w:p>
    <w:p>
      <w:pPr>
        <w:ind w:left="1619" w:hanging="1619" w:hangingChars="506"/>
        <w:rPr>
          <w:color w:val="000000"/>
          <w:sz w:val="32"/>
          <w:szCs w:val="32"/>
        </w:rPr>
      </w:pPr>
    </w:p>
    <w:p>
      <w:pPr>
        <w:ind w:left="1619" w:hanging="1619" w:hangingChars="506"/>
        <w:rPr>
          <w:color w:val="000000"/>
          <w:sz w:val="32"/>
          <w:szCs w:val="32"/>
        </w:rPr>
      </w:pPr>
    </w:p>
    <w:p>
      <w:pP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sz w:val="28"/>
          <w:szCs w:val="28"/>
        </w:rPr>
      </w:pPr>
      <w:r>
        <w:rPr>
          <w:color w:val="000000"/>
          <w:sz w:val="28"/>
          <w:szCs w:val="28"/>
        </w:rPr>
        <w:t>编制日期：2015年</w:t>
      </w:r>
      <w:r>
        <w:rPr>
          <w:rFonts w:hint="eastAsia"/>
          <w:color w:val="000000"/>
          <w:sz w:val="28"/>
          <w:szCs w:val="28"/>
        </w:rPr>
        <w:t>11</w:t>
      </w:r>
      <w:r>
        <w:rPr>
          <w:color w:val="000000"/>
          <w:sz w:val="28"/>
          <w:szCs w:val="28"/>
        </w:rPr>
        <w:t>月</w:t>
      </w:r>
    </w:p>
    <w:p>
      <w:pPr>
        <w:jc w:val="center"/>
        <w:rPr>
          <w:color w:val="000000"/>
          <w:sz w:val="28"/>
          <w:szCs w:val="28"/>
        </w:rPr>
      </w:pPr>
      <w:r>
        <w:rPr>
          <w:color w:val="000000"/>
          <w:sz w:val="28"/>
          <w:szCs w:val="28"/>
        </w:rPr>
        <w:t>江苏省环保厅制</w:t>
      </w:r>
    </w:p>
    <w:p>
      <w:pPr>
        <w:spacing w:after="156" w:afterLines="50"/>
        <w:rPr>
          <w:color w:val="000000"/>
          <w:sz w:val="28"/>
          <w:szCs w:val="28"/>
        </w:rPr>
      </w:pPr>
      <w:r>
        <w:rPr>
          <w:color w:val="000000"/>
          <w:sz w:val="28"/>
          <w:szCs w:val="28"/>
        </w:rPr>
        <w:br w:type="page"/>
      </w:r>
    </w:p>
    <w:p>
      <w:pPr>
        <w:spacing w:after="156" w:afterLines="50"/>
        <w:jc w:val="center"/>
        <w:rPr>
          <w:color w:val="000000"/>
          <w:sz w:val="30"/>
          <w:szCs w:val="30"/>
        </w:rPr>
      </w:pPr>
      <w:r>
        <w:rPr>
          <w:color w:val="000000"/>
          <w:sz w:val="30"/>
          <w:szCs w:val="30"/>
        </w:rPr>
        <w:t>《建设项目环境影响报告表》编制说明</w:t>
      </w:r>
    </w:p>
    <w:p>
      <w:pPr>
        <w:spacing w:after="156" w:afterLines="50" w:line="360" w:lineRule="auto"/>
        <w:ind w:firstLine="461" w:firstLineChars="192"/>
        <w:rPr>
          <w:color w:val="000000"/>
          <w:sz w:val="24"/>
        </w:rPr>
      </w:pPr>
      <w:r>
        <w:rPr>
          <w:color w:val="000000"/>
          <w:sz w:val="24"/>
        </w:rPr>
        <w:t>《建设项目环境影响报告表》由具有从事环境影响评价工作资质的单位编制。</w:t>
      </w:r>
    </w:p>
    <w:p>
      <w:pPr>
        <w:spacing w:after="156" w:afterLines="50" w:line="360" w:lineRule="auto"/>
        <w:ind w:firstLine="461" w:firstLineChars="192"/>
        <w:rPr>
          <w:color w:val="000000"/>
          <w:sz w:val="24"/>
        </w:rPr>
      </w:pPr>
      <w:r>
        <w:rPr>
          <w:color w:val="000000"/>
          <w:sz w:val="24"/>
        </w:rPr>
        <w:t>1.项目名称----指项目立项批复时的名称，应不超过30个字（两个英文字段作一个汉字）。</w:t>
      </w:r>
    </w:p>
    <w:p>
      <w:pPr>
        <w:spacing w:after="156" w:afterLines="50" w:line="360" w:lineRule="auto"/>
        <w:ind w:left="461"/>
        <w:rPr>
          <w:rFonts w:eastAsia="文鼎大标宋简"/>
          <w:color w:val="000000"/>
          <w:sz w:val="24"/>
        </w:rPr>
      </w:pPr>
      <w:r>
        <w:rPr>
          <w:color w:val="000000"/>
          <w:sz w:val="24"/>
        </w:rPr>
        <w:t>2.建设地点----指项目所在地详细地址，公路、铁路应填写起止地点。</w:t>
      </w:r>
    </w:p>
    <w:p>
      <w:pPr>
        <w:spacing w:after="156" w:afterLines="50" w:line="360" w:lineRule="auto"/>
        <w:ind w:firstLine="461" w:firstLineChars="192"/>
        <w:rPr>
          <w:color w:val="000000"/>
          <w:sz w:val="24"/>
        </w:rPr>
      </w:pPr>
      <w:r>
        <w:rPr>
          <w:color w:val="000000"/>
          <w:sz w:val="24"/>
        </w:rPr>
        <w:t>3.行业类别----按国标填写</w:t>
      </w:r>
    </w:p>
    <w:p>
      <w:pPr>
        <w:spacing w:after="156" w:afterLines="50" w:line="360" w:lineRule="auto"/>
        <w:ind w:firstLine="461" w:firstLineChars="192"/>
        <w:rPr>
          <w:color w:val="000000"/>
          <w:sz w:val="24"/>
        </w:rPr>
      </w:pPr>
      <w:r>
        <w:rPr>
          <w:color w:val="000000"/>
          <w:sz w:val="24"/>
        </w:rPr>
        <w:t>4.总投资----指项目投资总额</w:t>
      </w:r>
    </w:p>
    <w:p>
      <w:pPr>
        <w:spacing w:after="156" w:afterLines="50" w:line="360" w:lineRule="auto"/>
        <w:ind w:firstLine="461" w:firstLineChars="192"/>
        <w:rPr>
          <w:color w:val="000000"/>
          <w:sz w:val="24"/>
        </w:rPr>
      </w:pPr>
      <w:r>
        <w:rPr>
          <w:color w:val="000000"/>
          <w:sz w:val="24"/>
        </w:rPr>
        <w:t>5.主要环境保护目标----指项目区周围一定范围内集中居民住宅区、学校、医院、保护文物、风景名胜区、水源地和生态敏感点等，应尽可能给出保护目标、性质、规模和距厂界距离等。</w:t>
      </w:r>
    </w:p>
    <w:p>
      <w:pPr>
        <w:spacing w:after="156" w:afterLines="50" w:line="360" w:lineRule="auto"/>
        <w:ind w:firstLine="461" w:firstLineChars="192"/>
        <w:rPr>
          <w:color w:val="000000"/>
          <w:sz w:val="24"/>
        </w:rPr>
      </w:pPr>
      <w:r>
        <w:rPr>
          <w:color w:val="000000"/>
          <w:sz w:val="24"/>
        </w:rPr>
        <w:t>6.结论与建议----给出本项目清洁生产、达标排放和总量控制的分析结论，确定污染防治措施的有效性，说明本项目对环境造成的影响，给出建设项目环境可行性的明确结论。同时提出减少环境影响的其他建议。</w:t>
      </w:r>
    </w:p>
    <w:p>
      <w:pPr>
        <w:spacing w:after="156" w:afterLines="50" w:line="360" w:lineRule="auto"/>
        <w:ind w:firstLine="461" w:firstLineChars="192"/>
        <w:rPr>
          <w:color w:val="000000"/>
          <w:sz w:val="24"/>
        </w:rPr>
      </w:pPr>
      <w:r>
        <w:rPr>
          <w:color w:val="000000"/>
          <w:sz w:val="24"/>
        </w:rPr>
        <w:t>7.预审意见----由行业主管部门填写答复意见，无主管部门项目，可不填。</w:t>
      </w:r>
    </w:p>
    <w:p>
      <w:pPr>
        <w:spacing w:after="156" w:afterLines="50"/>
        <w:ind w:firstLine="461" w:firstLineChars="192"/>
        <w:rPr>
          <w:color w:val="000000"/>
          <w:sz w:val="24"/>
        </w:rPr>
        <w:sectPr>
          <w:footerReference r:id="rId4" w:type="first"/>
          <w:footerReference r:id="rId3" w:type="even"/>
          <w:pgSz w:w="11906" w:h="16838"/>
          <w:pgMar w:top="1440" w:right="1701" w:bottom="1440" w:left="1701" w:header="851" w:footer="992" w:gutter="0"/>
          <w:pgNumType w:start="0"/>
          <w:cols w:space="720" w:num="1"/>
          <w:titlePg/>
          <w:docGrid w:type="lines" w:linePitch="312" w:charSpace="0"/>
        </w:sectPr>
      </w:pPr>
      <w:r>
        <w:rPr>
          <w:color w:val="000000"/>
          <w:sz w:val="24"/>
        </w:rPr>
        <w:t>8.审批意见----由负责审批该项目的环境保护行政主管部门批复。</w:t>
      </w:r>
    </w:p>
    <w:p>
      <w:pPr>
        <w:outlineLvl w:val="0"/>
        <w:rPr>
          <w:b/>
          <w:color w:val="000000"/>
          <w:sz w:val="24"/>
        </w:rPr>
      </w:pPr>
      <w:r>
        <w:rPr>
          <w:b/>
          <w:color w:val="000000"/>
          <w:sz w:val="24"/>
        </w:rPr>
        <w:t>1、建设项目基本情况</w:t>
      </w:r>
    </w:p>
    <w:tbl>
      <w:tblPr>
        <w:tblStyle w:val="33"/>
        <w:tblW w:w="8560"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53"/>
        <w:gridCol w:w="1284"/>
        <w:gridCol w:w="510"/>
        <w:gridCol w:w="351"/>
        <w:gridCol w:w="289"/>
        <w:gridCol w:w="710"/>
        <w:gridCol w:w="204"/>
        <w:gridCol w:w="288"/>
        <w:gridCol w:w="919"/>
        <w:gridCol w:w="149"/>
        <w:gridCol w:w="1133"/>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 w:hRule="atLeast"/>
          <w:jc w:val="center"/>
        </w:trPr>
        <w:tc>
          <w:tcPr>
            <w:tcW w:w="1453" w:type="dxa"/>
            <w:vAlign w:val="center"/>
          </w:tcPr>
          <w:p>
            <w:pPr>
              <w:jc w:val="center"/>
              <w:rPr>
                <w:color w:val="000000"/>
                <w:sz w:val="24"/>
              </w:rPr>
            </w:pPr>
            <w:r>
              <w:rPr>
                <w:color w:val="000000"/>
                <w:sz w:val="24"/>
              </w:rPr>
              <w:t>项目名称</w:t>
            </w:r>
          </w:p>
        </w:tc>
        <w:tc>
          <w:tcPr>
            <w:tcW w:w="7107" w:type="dxa"/>
            <w:gridSpan w:val="11"/>
            <w:vAlign w:val="center"/>
          </w:tcPr>
          <w:p>
            <w:pPr>
              <w:jc w:val="center"/>
              <w:rPr>
                <w:color w:val="000000"/>
                <w:sz w:val="24"/>
              </w:rPr>
            </w:pPr>
            <w:r>
              <w:rPr>
                <w:color w:val="000000"/>
                <w:sz w:val="24"/>
              </w:rPr>
              <w:t>雨花物流自动化二期项目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5" w:hRule="atLeast"/>
          <w:jc w:val="center"/>
        </w:trPr>
        <w:tc>
          <w:tcPr>
            <w:tcW w:w="1453" w:type="dxa"/>
            <w:vAlign w:val="center"/>
          </w:tcPr>
          <w:p>
            <w:pPr>
              <w:jc w:val="center"/>
              <w:rPr>
                <w:color w:val="000000"/>
                <w:sz w:val="24"/>
              </w:rPr>
            </w:pPr>
            <w:r>
              <w:rPr>
                <w:color w:val="000000"/>
                <w:sz w:val="24"/>
              </w:rPr>
              <w:t>建设单位</w:t>
            </w:r>
          </w:p>
        </w:tc>
        <w:tc>
          <w:tcPr>
            <w:tcW w:w="7107" w:type="dxa"/>
            <w:gridSpan w:val="11"/>
            <w:vAlign w:val="center"/>
          </w:tcPr>
          <w:p>
            <w:pPr>
              <w:jc w:val="center"/>
              <w:rPr>
                <w:color w:val="000000"/>
                <w:sz w:val="24"/>
              </w:rPr>
            </w:pPr>
            <w:r>
              <w:rPr>
                <w:color w:val="000000"/>
                <w:sz w:val="24"/>
              </w:rPr>
              <w:t>南京鼎邦网络科技有限公司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8" w:hRule="atLeast"/>
          <w:jc w:val="center"/>
        </w:trPr>
        <w:tc>
          <w:tcPr>
            <w:tcW w:w="1453" w:type="dxa"/>
            <w:vAlign w:val="center"/>
          </w:tcPr>
          <w:p>
            <w:pPr>
              <w:jc w:val="center"/>
              <w:rPr>
                <w:color w:val="000000"/>
                <w:sz w:val="24"/>
              </w:rPr>
            </w:pPr>
            <w:r>
              <w:rPr>
                <w:color w:val="000000"/>
                <w:sz w:val="24"/>
              </w:rPr>
              <w:t>法人代表</w:t>
            </w:r>
          </w:p>
        </w:tc>
        <w:tc>
          <w:tcPr>
            <w:tcW w:w="3636" w:type="dxa"/>
            <w:gridSpan w:val="7"/>
            <w:vAlign w:val="center"/>
          </w:tcPr>
          <w:p>
            <w:pPr>
              <w:jc w:val="center"/>
              <w:rPr>
                <w:color w:val="000000"/>
                <w:sz w:val="24"/>
              </w:rPr>
            </w:pPr>
            <w:r>
              <w:rPr>
                <w:color w:val="000000"/>
                <w:sz w:val="24"/>
              </w:rPr>
              <w:t>金明</w:t>
            </w:r>
          </w:p>
        </w:tc>
        <w:tc>
          <w:tcPr>
            <w:tcW w:w="2201" w:type="dxa"/>
            <w:gridSpan w:val="3"/>
            <w:vAlign w:val="center"/>
          </w:tcPr>
          <w:p>
            <w:pPr>
              <w:jc w:val="center"/>
              <w:rPr>
                <w:color w:val="000000"/>
                <w:sz w:val="24"/>
              </w:rPr>
            </w:pPr>
            <w:r>
              <w:rPr>
                <w:color w:val="000000"/>
                <w:sz w:val="24"/>
              </w:rPr>
              <w:t>联系人</w:t>
            </w:r>
          </w:p>
        </w:tc>
        <w:tc>
          <w:tcPr>
            <w:tcW w:w="1270" w:type="dxa"/>
            <w:vAlign w:val="center"/>
          </w:tcPr>
          <w:p>
            <w:pPr>
              <w:jc w:val="center"/>
              <w:rPr>
                <w:color w:val="000000"/>
                <w:sz w:val="24"/>
              </w:rPr>
            </w:pPr>
            <w:r>
              <w:rPr>
                <w:sz w:val="24"/>
              </w:rPr>
              <w:t>王彬彬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5" w:hRule="atLeast"/>
          <w:jc w:val="center"/>
        </w:trPr>
        <w:tc>
          <w:tcPr>
            <w:tcW w:w="1453" w:type="dxa"/>
            <w:vAlign w:val="center"/>
          </w:tcPr>
          <w:p>
            <w:pPr>
              <w:jc w:val="center"/>
              <w:rPr>
                <w:color w:val="000000"/>
                <w:sz w:val="24"/>
              </w:rPr>
            </w:pPr>
            <w:r>
              <w:rPr>
                <w:color w:val="000000"/>
                <w:sz w:val="24"/>
              </w:rPr>
              <w:t>通讯地址</w:t>
            </w:r>
          </w:p>
        </w:tc>
        <w:tc>
          <w:tcPr>
            <w:tcW w:w="7107" w:type="dxa"/>
            <w:gridSpan w:val="11"/>
            <w:vAlign w:val="center"/>
          </w:tcPr>
          <w:p>
            <w:pPr>
              <w:jc w:val="center"/>
              <w:rPr>
                <w:color w:val="000000"/>
                <w:sz w:val="24"/>
              </w:rPr>
            </w:pPr>
            <w:r>
              <w:rPr>
                <w:sz w:val="24"/>
              </w:rPr>
              <w:t>南京市雨花经济技术开发区中心大道8号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8" w:hRule="atLeast"/>
          <w:jc w:val="center"/>
        </w:trPr>
        <w:tc>
          <w:tcPr>
            <w:tcW w:w="1453" w:type="dxa"/>
            <w:vAlign w:val="center"/>
          </w:tcPr>
          <w:p>
            <w:pPr>
              <w:jc w:val="center"/>
              <w:rPr>
                <w:color w:val="000000"/>
                <w:sz w:val="24"/>
              </w:rPr>
            </w:pPr>
            <w:r>
              <w:rPr>
                <w:color w:val="000000"/>
                <w:sz w:val="24"/>
              </w:rPr>
              <w:t>联系电话</w:t>
            </w:r>
          </w:p>
        </w:tc>
        <w:tc>
          <w:tcPr>
            <w:tcW w:w="2145" w:type="dxa"/>
            <w:gridSpan w:val="3"/>
            <w:vAlign w:val="center"/>
          </w:tcPr>
          <w:p>
            <w:pPr>
              <w:jc w:val="center"/>
              <w:rPr>
                <w:color w:val="000000"/>
                <w:spacing w:val="-20"/>
                <w:sz w:val="24"/>
              </w:rPr>
            </w:pPr>
            <w:r>
              <w:rPr>
                <w:color w:val="000000"/>
                <w:spacing w:val="-20"/>
                <w:sz w:val="24"/>
              </w:rPr>
              <w:t>18651667026</w:t>
            </w:r>
          </w:p>
        </w:tc>
        <w:tc>
          <w:tcPr>
            <w:tcW w:w="999" w:type="dxa"/>
            <w:gridSpan w:val="2"/>
            <w:vAlign w:val="center"/>
          </w:tcPr>
          <w:p>
            <w:pPr>
              <w:jc w:val="center"/>
              <w:rPr>
                <w:color w:val="000000"/>
                <w:sz w:val="24"/>
              </w:rPr>
            </w:pPr>
            <w:r>
              <w:rPr>
                <w:color w:val="000000"/>
                <w:sz w:val="24"/>
              </w:rPr>
              <w:t>传真</w:t>
            </w:r>
          </w:p>
        </w:tc>
        <w:tc>
          <w:tcPr>
            <w:tcW w:w="1560" w:type="dxa"/>
            <w:gridSpan w:val="4"/>
            <w:vAlign w:val="center"/>
          </w:tcPr>
          <w:p>
            <w:pPr>
              <w:jc w:val="center"/>
              <w:rPr>
                <w:color w:val="000000"/>
                <w:sz w:val="24"/>
              </w:rPr>
            </w:pPr>
            <w:r>
              <w:rPr>
                <w:sz w:val="24"/>
              </w:rPr>
              <w:t>/</w:t>
            </w:r>
          </w:p>
        </w:tc>
        <w:tc>
          <w:tcPr>
            <w:tcW w:w="1133" w:type="dxa"/>
            <w:vAlign w:val="center"/>
          </w:tcPr>
          <w:p>
            <w:pPr>
              <w:jc w:val="center"/>
              <w:rPr>
                <w:color w:val="000000"/>
                <w:sz w:val="24"/>
              </w:rPr>
            </w:pPr>
            <w:r>
              <w:rPr>
                <w:color w:val="000000"/>
                <w:sz w:val="24"/>
              </w:rPr>
              <w:t>邮政编码</w:t>
            </w:r>
          </w:p>
        </w:tc>
        <w:tc>
          <w:tcPr>
            <w:tcW w:w="1270" w:type="dxa"/>
            <w:vAlign w:val="center"/>
          </w:tcPr>
          <w:p>
            <w:pPr>
              <w:jc w:val="center"/>
              <w:rPr>
                <w:color w:val="000000"/>
                <w:sz w:val="24"/>
              </w:rPr>
            </w:pPr>
            <w:r>
              <w:rPr>
                <w:color w:val="000000"/>
                <w:sz w:val="24"/>
              </w:rPr>
              <w:t>210039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5" w:hRule="atLeast"/>
          <w:jc w:val="center"/>
        </w:trPr>
        <w:tc>
          <w:tcPr>
            <w:tcW w:w="1453" w:type="dxa"/>
            <w:vAlign w:val="center"/>
          </w:tcPr>
          <w:p>
            <w:pPr>
              <w:jc w:val="center"/>
              <w:rPr>
                <w:sz w:val="24"/>
              </w:rPr>
            </w:pPr>
            <w:r>
              <w:rPr>
                <w:sz w:val="24"/>
              </w:rPr>
              <w:t>建设地点</w:t>
            </w:r>
          </w:p>
        </w:tc>
        <w:tc>
          <w:tcPr>
            <w:tcW w:w="7107" w:type="dxa"/>
            <w:gridSpan w:val="11"/>
            <w:vAlign w:val="center"/>
          </w:tcPr>
          <w:p>
            <w:pPr>
              <w:jc w:val="center"/>
              <w:rPr>
                <w:sz w:val="24"/>
              </w:rPr>
            </w:pPr>
            <w:r>
              <w:rPr>
                <w:sz w:val="24"/>
              </w:rPr>
              <w:t>南京市雨花台区雨花经济开发区，龙藏大道以南、二号路以北、</w:t>
            </w:r>
            <w:r>
              <w:rPr>
                <w:rFonts w:hint="eastAsia"/>
                <w:sz w:val="24"/>
              </w:rPr>
              <w:t>苏宁</w:t>
            </w:r>
            <w:r>
              <w:rPr>
                <w:sz w:val="24"/>
              </w:rPr>
              <w:t>物流</w:t>
            </w:r>
            <w:r>
              <w:rPr>
                <w:rFonts w:hint="eastAsia"/>
                <w:sz w:val="24"/>
              </w:rPr>
              <w:t>中心</w:t>
            </w:r>
            <w:r>
              <w:rPr>
                <w:sz w:val="24"/>
              </w:rPr>
              <w:t>项目以西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8" w:hRule="atLeast"/>
          <w:jc w:val="center"/>
        </w:trPr>
        <w:tc>
          <w:tcPr>
            <w:tcW w:w="1453" w:type="dxa"/>
            <w:vAlign w:val="center"/>
          </w:tcPr>
          <w:p>
            <w:pPr>
              <w:jc w:val="center"/>
              <w:rPr>
                <w:color w:val="000000"/>
                <w:sz w:val="24"/>
              </w:rPr>
            </w:pPr>
            <w:r>
              <w:rPr>
                <w:color w:val="000000"/>
                <w:sz w:val="24"/>
              </w:rPr>
              <w:t>立项审批部门</w:t>
            </w:r>
          </w:p>
        </w:tc>
        <w:tc>
          <w:tcPr>
            <w:tcW w:w="3144" w:type="dxa"/>
            <w:gridSpan w:val="5"/>
            <w:vAlign w:val="center"/>
          </w:tcPr>
          <w:p>
            <w:pPr>
              <w:jc w:val="center"/>
              <w:rPr>
                <w:color w:val="000000"/>
                <w:spacing w:val="-10"/>
                <w:szCs w:val="21"/>
              </w:rPr>
            </w:pPr>
            <w:r>
              <w:rPr>
                <w:sz w:val="24"/>
              </w:rPr>
              <w:t>中国（南京）软件谷管理委员会战略发展局</w:t>
            </w:r>
          </w:p>
        </w:tc>
        <w:tc>
          <w:tcPr>
            <w:tcW w:w="1411" w:type="dxa"/>
            <w:gridSpan w:val="3"/>
            <w:vAlign w:val="center"/>
          </w:tcPr>
          <w:p>
            <w:pPr>
              <w:jc w:val="center"/>
              <w:rPr>
                <w:color w:val="000000"/>
                <w:sz w:val="24"/>
              </w:rPr>
            </w:pPr>
            <w:r>
              <w:rPr>
                <w:color w:val="000000"/>
                <w:sz w:val="24"/>
              </w:rPr>
              <w:t>批准文号</w:t>
            </w:r>
          </w:p>
        </w:tc>
        <w:tc>
          <w:tcPr>
            <w:tcW w:w="2552" w:type="dxa"/>
            <w:gridSpan w:val="3"/>
            <w:vAlign w:val="center"/>
          </w:tcPr>
          <w:p>
            <w:pPr>
              <w:jc w:val="center"/>
              <w:rPr>
                <w:color w:val="000000"/>
                <w:spacing w:val="-10"/>
                <w:sz w:val="24"/>
              </w:rPr>
            </w:pPr>
            <w:r>
              <w:rPr>
                <w:sz w:val="24"/>
              </w:rPr>
              <w:t>谷发展项字[2013]39号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1" w:hRule="atLeast"/>
          <w:jc w:val="center"/>
        </w:trPr>
        <w:tc>
          <w:tcPr>
            <w:tcW w:w="1453" w:type="dxa"/>
            <w:vAlign w:val="center"/>
          </w:tcPr>
          <w:p>
            <w:pPr>
              <w:jc w:val="center"/>
              <w:rPr>
                <w:color w:val="000000"/>
                <w:sz w:val="24"/>
              </w:rPr>
            </w:pPr>
            <w:r>
              <w:rPr>
                <w:color w:val="000000"/>
                <w:sz w:val="24"/>
              </w:rPr>
              <w:t>建设性质</w:t>
            </w:r>
          </w:p>
        </w:tc>
        <w:tc>
          <w:tcPr>
            <w:tcW w:w="1794" w:type="dxa"/>
            <w:gridSpan w:val="2"/>
            <w:vAlign w:val="center"/>
          </w:tcPr>
          <w:p>
            <w:pPr>
              <w:jc w:val="center"/>
              <w:rPr>
                <w:color w:val="000000"/>
                <w:sz w:val="24"/>
              </w:rPr>
            </w:pPr>
            <w:r>
              <w:rPr>
                <w:rFonts w:hint="eastAsia"/>
                <w:color w:val="000000"/>
                <w:sz w:val="24"/>
              </w:rPr>
              <w:t>新</w:t>
            </w:r>
            <w:r>
              <w:rPr>
                <w:color w:val="000000"/>
                <w:sz w:val="24"/>
              </w:rPr>
              <w:t>建</w:t>
            </w:r>
          </w:p>
        </w:tc>
        <w:tc>
          <w:tcPr>
            <w:tcW w:w="1554" w:type="dxa"/>
            <w:gridSpan w:val="4"/>
            <w:vAlign w:val="center"/>
          </w:tcPr>
          <w:p>
            <w:pPr>
              <w:jc w:val="center"/>
              <w:rPr>
                <w:color w:val="000000"/>
                <w:spacing w:val="-10"/>
                <w:sz w:val="24"/>
              </w:rPr>
            </w:pPr>
            <w:r>
              <w:rPr>
                <w:color w:val="000000"/>
                <w:spacing w:val="-10"/>
                <w:sz w:val="24"/>
              </w:rPr>
              <w:t>行业类别及代码</w:t>
            </w:r>
          </w:p>
        </w:tc>
        <w:tc>
          <w:tcPr>
            <w:tcW w:w="3759" w:type="dxa"/>
            <w:gridSpan w:val="5"/>
            <w:vAlign w:val="center"/>
          </w:tcPr>
          <w:p>
            <w:pPr>
              <w:jc w:val="center"/>
              <w:rPr>
                <w:color w:val="000000"/>
                <w:sz w:val="24"/>
              </w:rPr>
            </w:pPr>
            <w:r>
              <w:rPr>
                <w:sz w:val="24"/>
              </w:rPr>
              <w:t>G5990其他仓储业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5" w:hRule="atLeast"/>
          <w:jc w:val="center"/>
        </w:trPr>
        <w:tc>
          <w:tcPr>
            <w:tcW w:w="1453" w:type="dxa"/>
            <w:vAlign w:val="center"/>
          </w:tcPr>
          <w:p>
            <w:pPr>
              <w:jc w:val="center"/>
              <w:rPr>
                <w:color w:val="000000"/>
                <w:sz w:val="24"/>
              </w:rPr>
            </w:pPr>
            <w:r>
              <w:rPr>
                <w:color w:val="000000"/>
                <w:sz w:val="24"/>
              </w:rPr>
              <w:t>占地面积</w:t>
            </w:r>
          </w:p>
        </w:tc>
        <w:tc>
          <w:tcPr>
            <w:tcW w:w="1794" w:type="dxa"/>
            <w:gridSpan w:val="2"/>
            <w:vAlign w:val="center"/>
          </w:tcPr>
          <w:p>
            <w:pPr>
              <w:jc w:val="center"/>
              <w:rPr>
                <w:color w:val="000000"/>
                <w:sz w:val="24"/>
              </w:rPr>
            </w:pPr>
            <w:r>
              <w:rPr>
                <w:sz w:val="24"/>
              </w:rPr>
              <w:t xml:space="preserve">396449 </w:t>
            </w:r>
            <w:r>
              <w:rPr>
                <w:color w:val="000000"/>
                <w:sz w:val="24"/>
              </w:rPr>
              <w:t>m</w:t>
            </w:r>
            <w:r>
              <w:rPr>
                <w:color w:val="000000"/>
                <w:sz w:val="24"/>
                <w:vertAlign w:val="superscript"/>
              </w:rPr>
              <w:t>2</w:t>
            </w:r>
          </w:p>
        </w:tc>
        <w:tc>
          <w:tcPr>
            <w:tcW w:w="1350" w:type="dxa"/>
            <w:gridSpan w:val="3"/>
            <w:vAlign w:val="center"/>
          </w:tcPr>
          <w:p>
            <w:pPr>
              <w:jc w:val="center"/>
              <w:rPr>
                <w:color w:val="000000"/>
                <w:sz w:val="24"/>
              </w:rPr>
            </w:pPr>
            <w:r>
              <w:rPr>
                <w:color w:val="000000"/>
                <w:sz w:val="24"/>
              </w:rPr>
              <w:t>建筑面积</w:t>
            </w:r>
          </w:p>
        </w:tc>
        <w:tc>
          <w:tcPr>
            <w:tcW w:w="1560" w:type="dxa"/>
            <w:gridSpan w:val="4"/>
            <w:vAlign w:val="center"/>
          </w:tcPr>
          <w:p>
            <w:pPr>
              <w:jc w:val="center"/>
              <w:rPr>
                <w:color w:val="000000"/>
                <w:sz w:val="24"/>
              </w:rPr>
            </w:pPr>
            <w:r>
              <w:rPr>
                <w:sz w:val="24"/>
              </w:rPr>
              <w:t>5</w:t>
            </w:r>
            <w:r>
              <w:rPr>
                <w:rFonts w:hint="eastAsia"/>
                <w:sz w:val="24"/>
              </w:rPr>
              <w:t>16562.44</w:t>
            </w:r>
            <w:r>
              <w:rPr>
                <w:sz w:val="24"/>
              </w:rPr>
              <w:t xml:space="preserve"> </w:t>
            </w:r>
            <w:r>
              <w:rPr>
                <w:color w:val="000000"/>
                <w:sz w:val="24"/>
              </w:rPr>
              <w:t>m</w:t>
            </w:r>
            <w:r>
              <w:rPr>
                <w:color w:val="000000"/>
                <w:sz w:val="24"/>
                <w:vertAlign w:val="superscript"/>
              </w:rPr>
              <w:t>2</w:t>
            </w:r>
          </w:p>
        </w:tc>
        <w:tc>
          <w:tcPr>
            <w:tcW w:w="1133" w:type="dxa"/>
            <w:vAlign w:val="center"/>
          </w:tcPr>
          <w:p>
            <w:pPr>
              <w:jc w:val="center"/>
              <w:rPr>
                <w:color w:val="000000"/>
                <w:sz w:val="24"/>
              </w:rPr>
            </w:pPr>
            <w:r>
              <w:rPr>
                <w:color w:val="000000"/>
                <w:sz w:val="24"/>
              </w:rPr>
              <w:t>绿化面积</w:t>
            </w:r>
          </w:p>
        </w:tc>
        <w:tc>
          <w:tcPr>
            <w:tcW w:w="1270" w:type="dxa"/>
            <w:vAlign w:val="center"/>
          </w:tcPr>
          <w:p>
            <w:pPr>
              <w:jc w:val="center"/>
              <w:rPr>
                <w:color w:val="000000"/>
                <w:sz w:val="24"/>
              </w:rPr>
            </w:pPr>
            <w:r>
              <w:rPr>
                <w:sz w:val="24"/>
              </w:rPr>
              <w:t>66220.4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jc w:val="center"/>
        </w:trPr>
        <w:tc>
          <w:tcPr>
            <w:tcW w:w="1453" w:type="dxa"/>
            <w:vAlign w:val="center"/>
          </w:tcPr>
          <w:p>
            <w:pPr>
              <w:jc w:val="center"/>
              <w:rPr>
                <w:color w:val="000000"/>
                <w:sz w:val="24"/>
              </w:rPr>
            </w:pPr>
            <w:r>
              <w:rPr>
                <w:color w:val="000000"/>
                <w:sz w:val="24"/>
              </w:rPr>
              <w:t>总投资（万元）</w:t>
            </w:r>
          </w:p>
        </w:tc>
        <w:tc>
          <w:tcPr>
            <w:tcW w:w="1284" w:type="dxa"/>
            <w:vAlign w:val="center"/>
          </w:tcPr>
          <w:p>
            <w:pPr>
              <w:jc w:val="center"/>
              <w:rPr>
                <w:sz w:val="24"/>
              </w:rPr>
            </w:pPr>
            <w:r>
              <w:rPr>
                <w:sz w:val="24"/>
              </w:rPr>
              <w:t>94281.9</w:t>
            </w:r>
          </w:p>
        </w:tc>
        <w:tc>
          <w:tcPr>
            <w:tcW w:w="1150" w:type="dxa"/>
            <w:gridSpan w:val="3"/>
            <w:vAlign w:val="center"/>
          </w:tcPr>
          <w:p>
            <w:pPr>
              <w:jc w:val="center"/>
              <w:rPr>
                <w:color w:val="000000"/>
                <w:spacing w:val="-10"/>
                <w:sz w:val="24"/>
              </w:rPr>
            </w:pPr>
            <w:r>
              <w:rPr>
                <w:color w:val="000000"/>
                <w:spacing w:val="-10"/>
                <w:sz w:val="24"/>
              </w:rPr>
              <w:t>环保投资（万元）</w:t>
            </w:r>
          </w:p>
        </w:tc>
        <w:tc>
          <w:tcPr>
            <w:tcW w:w="710" w:type="dxa"/>
            <w:vAlign w:val="center"/>
          </w:tcPr>
          <w:p>
            <w:pPr>
              <w:jc w:val="center"/>
              <w:rPr>
                <w:color w:val="000000"/>
                <w:spacing w:val="-10"/>
                <w:sz w:val="24"/>
              </w:rPr>
            </w:pPr>
            <w:r>
              <w:rPr>
                <w:rFonts w:hint="eastAsia"/>
                <w:color w:val="000000"/>
                <w:spacing w:val="-10"/>
                <w:sz w:val="24"/>
              </w:rPr>
              <w:t>90</w:t>
            </w:r>
          </w:p>
        </w:tc>
        <w:tc>
          <w:tcPr>
            <w:tcW w:w="2693" w:type="dxa"/>
            <w:gridSpan w:val="5"/>
            <w:vAlign w:val="center"/>
          </w:tcPr>
          <w:p>
            <w:pPr>
              <w:jc w:val="center"/>
              <w:rPr>
                <w:sz w:val="24"/>
              </w:rPr>
            </w:pPr>
            <w:r>
              <w:rPr>
                <w:sz w:val="24"/>
              </w:rPr>
              <w:t>环保投资占总投资比例</w:t>
            </w:r>
          </w:p>
        </w:tc>
        <w:tc>
          <w:tcPr>
            <w:tcW w:w="1270" w:type="dxa"/>
            <w:vAlign w:val="center"/>
          </w:tcPr>
          <w:p>
            <w:pPr>
              <w:jc w:val="center"/>
              <w:rPr>
                <w:sz w:val="24"/>
              </w:rPr>
            </w:pPr>
            <w:r>
              <w:rPr>
                <w:rFonts w:hint="eastAsia"/>
                <w:sz w:val="24"/>
              </w:rPr>
              <w:t>0.095</w:t>
            </w:r>
            <w:r>
              <w:rPr>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5" w:hRule="atLeast"/>
          <w:jc w:val="center"/>
        </w:trPr>
        <w:tc>
          <w:tcPr>
            <w:tcW w:w="1453" w:type="dxa"/>
            <w:vAlign w:val="center"/>
          </w:tcPr>
          <w:p>
            <w:pPr>
              <w:jc w:val="center"/>
              <w:rPr>
                <w:color w:val="000000"/>
                <w:sz w:val="24"/>
              </w:rPr>
            </w:pPr>
            <w:r>
              <w:rPr>
                <w:color w:val="000000"/>
                <w:sz w:val="24"/>
              </w:rPr>
              <w:t>评价经费（万元）</w:t>
            </w:r>
          </w:p>
        </w:tc>
        <w:tc>
          <w:tcPr>
            <w:tcW w:w="3144" w:type="dxa"/>
            <w:gridSpan w:val="5"/>
            <w:vAlign w:val="center"/>
          </w:tcPr>
          <w:p>
            <w:pPr>
              <w:jc w:val="center"/>
              <w:rPr>
                <w:szCs w:val="21"/>
              </w:rPr>
            </w:pPr>
            <w:r>
              <w:rPr>
                <w:szCs w:val="21"/>
              </w:rPr>
              <w:t>/</w:t>
            </w:r>
          </w:p>
        </w:tc>
        <w:tc>
          <w:tcPr>
            <w:tcW w:w="1560" w:type="dxa"/>
            <w:gridSpan w:val="4"/>
            <w:vAlign w:val="center"/>
          </w:tcPr>
          <w:p>
            <w:pPr>
              <w:jc w:val="center"/>
              <w:rPr>
                <w:sz w:val="24"/>
              </w:rPr>
            </w:pPr>
            <w:r>
              <w:rPr>
                <w:sz w:val="24"/>
              </w:rPr>
              <w:t>预投产日期</w:t>
            </w:r>
          </w:p>
        </w:tc>
        <w:tc>
          <w:tcPr>
            <w:tcW w:w="2403" w:type="dxa"/>
            <w:gridSpan w:val="2"/>
            <w:vAlign w:val="center"/>
          </w:tcPr>
          <w:p>
            <w:pPr>
              <w:jc w:val="center"/>
              <w:rPr>
                <w:sz w:val="24"/>
              </w:rPr>
            </w:pPr>
            <w:r>
              <w:rPr>
                <w:sz w:val="24"/>
              </w:rPr>
              <w:t>201</w:t>
            </w:r>
            <w:r>
              <w:rPr>
                <w:rFonts w:hint="eastAsia"/>
                <w:sz w:val="24"/>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8560" w:type="dxa"/>
            <w:gridSpan w:val="12"/>
            <w:vAlign w:val="top"/>
          </w:tcPr>
          <w:p>
            <w:pPr>
              <w:spacing w:after="156" w:afterLines="50" w:line="360" w:lineRule="auto"/>
              <w:rPr>
                <w:b/>
                <w:bCs/>
                <w:sz w:val="24"/>
              </w:rPr>
            </w:pPr>
            <w:r>
              <w:rPr>
                <w:b/>
                <w:bCs/>
                <w:sz w:val="24"/>
              </w:rPr>
              <w:t>原辅材料（包括名称、用量）</w:t>
            </w:r>
          </w:p>
          <w:p>
            <w:pPr>
              <w:spacing w:line="360" w:lineRule="auto"/>
              <w:ind w:firstLine="495"/>
              <w:rPr>
                <w:sz w:val="24"/>
              </w:rPr>
            </w:pPr>
            <w:r>
              <w:rPr>
                <w:sz w:val="24"/>
              </w:rPr>
              <w:t>建设项目为物流仓储配送项目，主要仓储及配送货物为</w:t>
            </w:r>
            <w:r>
              <w:rPr>
                <w:rFonts w:hint="eastAsia"/>
                <w:sz w:val="24"/>
              </w:rPr>
              <w:t>家电，数码产品，办公，百货，包装食品，珠宝，音像产品，书籍，健康美容，运动户外，厨具家具，母婴产品，汽车配件</w:t>
            </w:r>
            <w:r>
              <w:rPr>
                <w:sz w:val="24"/>
              </w:rPr>
              <w:t>等，配送商品均为成品</w:t>
            </w:r>
            <w:r>
              <w:rPr>
                <w:rFonts w:hint="eastAsia"/>
                <w:sz w:val="24"/>
              </w:rPr>
              <w:t>；项目研发办公区主要功能为物流配送研发办公用房，包括物流软件研发、网站维护、数据中心及资料库，</w:t>
            </w:r>
            <w:r>
              <w:rPr>
                <w:sz w:val="24"/>
              </w:rPr>
              <w:t>无生产加工工序，不消耗原辅材料。</w:t>
            </w:r>
          </w:p>
          <w:p>
            <w:pPr>
              <w:spacing w:after="156" w:afterLines="50" w:line="360" w:lineRule="auto"/>
              <w:rPr>
                <w:b/>
                <w:bCs/>
                <w:sz w:val="24"/>
              </w:rPr>
            </w:pPr>
            <w:r>
              <w:rPr>
                <w:b/>
                <w:bCs/>
                <w:sz w:val="24"/>
              </w:rPr>
              <w:t>主要设施规格、数量 （包括锅炉、发电机）：</w:t>
            </w:r>
          </w:p>
          <w:p>
            <w:pPr>
              <w:adjustRightInd w:val="0"/>
              <w:snapToGrid w:val="0"/>
              <w:ind w:firstLine="442" w:firstLineChars="200"/>
              <w:jc w:val="center"/>
              <w:rPr>
                <w:b/>
                <w:snapToGrid w:val="0"/>
                <w:kern w:val="0"/>
                <w:sz w:val="22"/>
              </w:rPr>
            </w:pPr>
            <w:r>
              <w:rPr>
                <w:b/>
                <w:snapToGrid w:val="0"/>
                <w:kern w:val="0"/>
                <w:sz w:val="22"/>
              </w:rPr>
              <w:t>表1-1  本项目主要设备一览表</w:t>
            </w:r>
          </w:p>
          <w:tbl>
            <w:tblPr>
              <w:tblStyle w:val="33"/>
              <w:tblW w:w="8535" w:type="dxa"/>
              <w:jc w:val="center"/>
              <w:tblInd w:w="0" w:type="dxa"/>
              <w:tblLayout w:type="fixed"/>
              <w:tblCellMar>
                <w:top w:w="0" w:type="dxa"/>
                <w:left w:w="108" w:type="dxa"/>
                <w:bottom w:w="0" w:type="dxa"/>
                <w:right w:w="108" w:type="dxa"/>
              </w:tblCellMar>
            </w:tblPr>
            <w:tblGrid>
              <w:gridCol w:w="685"/>
              <w:gridCol w:w="2834"/>
              <w:gridCol w:w="2835"/>
              <w:gridCol w:w="993"/>
              <w:gridCol w:w="1188"/>
            </w:tblGrid>
            <w:tr>
              <w:tblPrEx>
                <w:tblLayout w:type="fixed"/>
                <w:tblCellMar>
                  <w:top w:w="0" w:type="dxa"/>
                  <w:left w:w="108" w:type="dxa"/>
                  <w:bottom w:w="0" w:type="dxa"/>
                  <w:right w:w="108" w:type="dxa"/>
                </w:tblCellMar>
              </w:tblPrEx>
              <w:trPr>
                <w:trHeight w:val="330" w:hRule="atLeast"/>
                <w:jc w:val="center"/>
              </w:trPr>
              <w:tc>
                <w:tcPr>
                  <w:tcW w:w="685" w:type="dxa"/>
                  <w:tcBorders>
                    <w:top w:val="single" w:color="auto" w:sz="8" w:space="0"/>
                    <w:left w:val="single" w:color="auto" w:sz="8" w:space="0"/>
                    <w:bottom w:val="nil"/>
                    <w:right w:val="single" w:color="auto" w:sz="4" w:space="0"/>
                  </w:tcBorders>
                  <w:shd w:val="clear" w:color="auto" w:fill="auto"/>
                  <w:vAlign w:val="center"/>
                </w:tcPr>
                <w:p>
                  <w:pPr>
                    <w:spacing w:line="320" w:lineRule="exact"/>
                    <w:jc w:val="center"/>
                    <w:rPr>
                      <w:szCs w:val="21"/>
                    </w:rPr>
                  </w:pPr>
                  <w:bookmarkStart w:id="0" w:name="RANGE!A1:E28"/>
                  <w:r>
                    <w:rPr>
                      <w:szCs w:val="21"/>
                    </w:rPr>
                    <w:t>序号</w:t>
                  </w:r>
                  <w:bookmarkEnd w:id="0"/>
                </w:p>
              </w:tc>
              <w:tc>
                <w:tcPr>
                  <w:tcW w:w="2834" w:type="dxa"/>
                  <w:tcBorders>
                    <w:top w:val="single" w:color="auto" w:sz="8" w:space="0"/>
                    <w:left w:val="nil"/>
                    <w:bottom w:val="nil"/>
                    <w:right w:val="nil"/>
                  </w:tcBorders>
                  <w:shd w:val="clear" w:color="auto" w:fill="auto"/>
                  <w:vAlign w:val="center"/>
                </w:tcPr>
                <w:p>
                  <w:pPr>
                    <w:spacing w:line="320" w:lineRule="exact"/>
                    <w:jc w:val="center"/>
                    <w:rPr>
                      <w:szCs w:val="21"/>
                    </w:rPr>
                  </w:pPr>
                  <w:r>
                    <w:rPr>
                      <w:szCs w:val="21"/>
                    </w:rPr>
                    <w:t>设备名称</w:t>
                  </w:r>
                </w:p>
              </w:tc>
              <w:tc>
                <w:tcPr>
                  <w:tcW w:w="2835" w:type="dxa"/>
                  <w:tcBorders>
                    <w:top w:val="single" w:color="auto" w:sz="8" w:space="0"/>
                    <w:left w:val="single" w:color="auto" w:sz="4" w:space="0"/>
                    <w:bottom w:val="nil"/>
                    <w:right w:val="single" w:color="auto" w:sz="4" w:space="0"/>
                  </w:tcBorders>
                  <w:shd w:val="clear" w:color="auto" w:fill="auto"/>
                  <w:vAlign w:val="center"/>
                </w:tcPr>
                <w:p>
                  <w:pPr>
                    <w:spacing w:line="320" w:lineRule="exact"/>
                    <w:jc w:val="center"/>
                    <w:rPr>
                      <w:szCs w:val="21"/>
                    </w:rPr>
                  </w:pPr>
                  <w:r>
                    <w:rPr>
                      <w:szCs w:val="21"/>
                    </w:rPr>
                    <w:t>规格型号</w:t>
                  </w:r>
                </w:p>
              </w:tc>
              <w:tc>
                <w:tcPr>
                  <w:tcW w:w="993" w:type="dxa"/>
                  <w:tcBorders>
                    <w:top w:val="single" w:color="auto" w:sz="8" w:space="0"/>
                    <w:left w:val="nil"/>
                    <w:bottom w:val="nil"/>
                    <w:right w:val="single" w:color="auto" w:sz="4" w:space="0"/>
                  </w:tcBorders>
                  <w:shd w:val="clear" w:color="auto" w:fill="auto"/>
                  <w:vAlign w:val="center"/>
                </w:tcPr>
                <w:p>
                  <w:pPr>
                    <w:spacing w:line="320" w:lineRule="exact"/>
                    <w:jc w:val="center"/>
                    <w:rPr>
                      <w:szCs w:val="21"/>
                    </w:rPr>
                  </w:pPr>
                  <w:r>
                    <w:rPr>
                      <w:szCs w:val="21"/>
                    </w:rPr>
                    <w:t>数量</w:t>
                  </w:r>
                </w:p>
              </w:tc>
              <w:tc>
                <w:tcPr>
                  <w:tcW w:w="1188" w:type="dxa"/>
                  <w:tcBorders>
                    <w:top w:val="single" w:color="auto" w:sz="8" w:space="0"/>
                    <w:left w:val="nil"/>
                    <w:bottom w:val="nil"/>
                    <w:right w:val="single" w:color="auto" w:sz="4" w:space="0"/>
                  </w:tcBorders>
                  <w:shd w:val="clear" w:color="auto" w:fill="auto"/>
                  <w:vAlign w:val="center"/>
                </w:tcPr>
                <w:p>
                  <w:pPr>
                    <w:spacing w:line="320" w:lineRule="exact"/>
                    <w:jc w:val="center"/>
                    <w:rPr>
                      <w:szCs w:val="21"/>
                    </w:rPr>
                  </w:pPr>
                  <w:r>
                    <w:rPr>
                      <w:szCs w:val="21"/>
                    </w:rPr>
                    <w:t>单位</w:t>
                  </w:r>
                </w:p>
              </w:tc>
            </w:tr>
            <w:tr>
              <w:tblPrEx>
                <w:tblLayout w:type="fixed"/>
                <w:tblCellMar>
                  <w:top w:w="0" w:type="dxa"/>
                  <w:left w:w="108" w:type="dxa"/>
                  <w:bottom w:w="0" w:type="dxa"/>
                  <w:right w:w="108" w:type="dxa"/>
                </w:tblCellMar>
              </w:tblPrEx>
              <w:trPr>
                <w:trHeight w:val="765"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w:t>
                  </w:r>
                </w:p>
              </w:tc>
              <w:tc>
                <w:tcPr>
                  <w:tcW w:w="2834" w:type="dxa"/>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SCS存储箱</w:t>
                  </w:r>
                </w:p>
              </w:tc>
              <w:tc>
                <w:tcPr>
                  <w:tcW w:w="2835"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类型: SSI 胜斐迩 LTB 6280</w:t>
                  </w:r>
                </w:p>
                <w:p>
                  <w:pPr>
                    <w:spacing w:line="320" w:lineRule="exact"/>
                    <w:jc w:val="center"/>
                    <w:rPr>
                      <w:szCs w:val="21"/>
                    </w:rPr>
                  </w:pPr>
                  <w:r>
                    <w:rPr>
                      <w:szCs w:val="21"/>
                    </w:rPr>
                    <w:t>大小: 600x400x280 毫米</w:t>
                  </w:r>
                </w:p>
              </w:tc>
              <w:tc>
                <w:tcPr>
                  <w:tcW w:w="993"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180000</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459" w:hRule="atLeast"/>
                <w:jc w:val="center"/>
              </w:trPr>
              <w:tc>
                <w:tcPr>
                  <w:tcW w:w="685" w:type="dxa"/>
                  <w:vMerge w:val="restart"/>
                  <w:tcBorders>
                    <w:top w:val="nil"/>
                    <w:left w:val="single" w:color="auto" w:sz="4" w:space="0"/>
                    <w:bottom w:val="single" w:color="000000" w:sz="4" w:space="0"/>
                    <w:right w:val="single" w:color="auto" w:sz="4" w:space="0"/>
                  </w:tcBorders>
                  <w:shd w:val="clear" w:color="auto" w:fill="auto"/>
                  <w:vAlign w:val="center"/>
                </w:tcPr>
                <w:p>
                  <w:pPr>
                    <w:spacing w:line="320" w:lineRule="exact"/>
                    <w:jc w:val="center"/>
                    <w:rPr>
                      <w:szCs w:val="21"/>
                    </w:rPr>
                  </w:pPr>
                  <w:r>
                    <w:rPr>
                      <w:szCs w:val="21"/>
                    </w:rPr>
                    <w:t>2</w:t>
                  </w:r>
                </w:p>
              </w:tc>
              <w:tc>
                <w:tcPr>
                  <w:tcW w:w="2834" w:type="dxa"/>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胜斐迩Miniload系统</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SMC-XL2箱式堆垛机</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12</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巷道</w:t>
                  </w:r>
                </w:p>
              </w:tc>
            </w:tr>
            <w:tr>
              <w:tblPrEx>
                <w:tblLayout w:type="fixed"/>
                <w:tblCellMar>
                  <w:top w:w="0" w:type="dxa"/>
                  <w:left w:w="108" w:type="dxa"/>
                  <w:bottom w:w="0" w:type="dxa"/>
                  <w:right w:w="108" w:type="dxa"/>
                </w:tblCellMar>
              </w:tblPrEx>
              <w:trPr>
                <w:trHeight w:val="270" w:hRule="atLeast"/>
                <w:jc w:val="center"/>
              </w:trPr>
              <w:tc>
                <w:tcPr>
                  <w:tcW w:w="685" w:type="dxa"/>
                  <w:vMerge w:val="continue"/>
                  <w:tcBorders>
                    <w:top w:val="nil"/>
                    <w:left w:val="single" w:color="auto" w:sz="4" w:space="0"/>
                    <w:bottom w:val="single" w:color="000000" w:sz="4" w:space="0"/>
                    <w:right w:val="single" w:color="auto" w:sz="4" w:space="0"/>
                  </w:tcBorders>
                  <w:shd w:val="clear" w:color="auto" w:fill="auto"/>
                  <w:vAlign w:val="center"/>
                </w:tcPr>
                <w:p>
                  <w:pPr>
                    <w:spacing w:line="320" w:lineRule="exact"/>
                    <w:jc w:val="center"/>
                    <w:rPr>
                      <w:szCs w:val="21"/>
                    </w:rPr>
                  </w:pPr>
                </w:p>
              </w:tc>
              <w:tc>
                <w:tcPr>
                  <w:tcW w:w="2834" w:type="dxa"/>
                  <w:vMerge w:val="continue"/>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货架</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338400</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货位</w:t>
                  </w:r>
                </w:p>
              </w:tc>
            </w:tr>
            <w:tr>
              <w:tblPrEx>
                <w:tblLayout w:type="fixed"/>
                <w:tblCellMar>
                  <w:top w:w="0" w:type="dxa"/>
                  <w:left w:w="108" w:type="dxa"/>
                  <w:bottom w:w="0" w:type="dxa"/>
                  <w:right w:w="108" w:type="dxa"/>
                </w:tblCellMar>
              </w:tblPrEx>
              <w:trPr>
                <w:trHeight w:val="510" w:hRule="atLeast"/>
                <w:jc w:val="center"/>
              </w:trPr>
              <w:tc>
                <w:tcPr>
                  <w:tcW w:w="685" w:type="dxa"/>
                  <w:vMerge w:val="restart"/>
                  <w:tcBorders>
                    <w:top w:val="nil"/>
                    <w:left w:val="single" w:color="auto" w:sz="4" w:space="0"/>
                    <w:bottom w:val="single" w:color="000000" w:sz="4" w:space="0"/>
                    <w:right w:val="single" w:color="auto" w:sz="4" w:space="0"/>
                  </w:tcBorders>
                  <w:shd w:val="clear" w:color="auto" w:fill="auto"/>
                  <w:vAlign w:val="center"/>
                </w:tcPr>
                <w:p>
                  <w:pPr>
                    <w:spacing w:line="320" w:lineRule="exact"/>
                    <w:jc w:val="center"/>
                    <w:rPr>
                      <w:szCs w:val="21"/>
                    </w:rPr>
                  </w:pPr>
                  <w:r>
                    <w:rPr>
                      <w:szCs w:val="21"/>
                    </w:rPr>
                    <w:t>3</w:t>
                  </w:r>
                </w:p>
              </w:tc>
              <w:tc>
                <w:tcPr>
                  <w:tcW w:w="2834" w:type="dxa"/>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胜斐迩托盘堆垛机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托盘堆垛机</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3</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巷道</w:t>
                  </w:r>
                </w:p>
              </w:tc>
            </w:tr>
            <w:tr>
              <w:tblPrEx>
                <w:tblLayout w:type="fixed"/>
                <w:tblCellMar>
                  <w:top w:w="0" w:type="dxa"/>
                  <w:left w:w="108" w:type="dxa"/>
                  <w:bottom w:w="0" w:type="dxa"/>
                  <w:right w:w="108" w:type="dxa"/>
                </w:tblCellMar>
              </w:tblPrEx>
              <w:trPr>
                <w:trHeight w:val="270" w:hRule="atLeast"/>
                <w:jc w:val="center"/>
              </w:trPr>
              <w:tc>
                <w:tcPr>
                  <w:tcW w:w="685" w:type="dxa"/>
                  <w:vMerge w:val="continue"/>
                  <w:tcBorders>
                    <w:top w:val="nil"/>
                    <w:left w:val="single" w:color="auto" w:sz="4" w:space="0"/>
                    <w:bottom w:val="single" w:color="000000" w:sz="4" w:space="0"/>
                    <w:right w:val="single" w:color="auto" w:sz="4" w:space="0"/>
                  </w:tcBorders>
                  <w:shd w:val="clear" w:color="auto" w:fill="auto"/>
                  <w:vAlign w:val="center"/>
                </w:tcPr>
                <w:p>
                  <w:pPr>
                    <w:spacing w:line="320" w:lineRule="exact"/>
                    <w:jc w:val="center"/>
                    <w:rPr>
                      <w:szCs w:val="21"/>
                    </w:rPr>
                  </w:pPr>
                </w:p>
              </w:tc>
              <w:tc>
                <w:tcPr>
                  <w:tcW w:w="2834" w:type="dxa"/>
                  <w:vMerge w:val="continue"/>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货架</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10608</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货位</w:t>
                  </w:r>
                </w:p>
              </w:tc>
            </w:tr>
            <w:tr>
              <w:tblPrEx>
                <w:tblLayout w:type="fixed"/>
                <w:tblCellMar>
                  <w:top w:w="0" w:type="dxa"/>
                  <w:left w:w="108" w:type="dxa"/>
                  <w:bottom w:w="0" w:type="dxa"/>
                  <w:right w:w="108" w:type="dxa"/>
                </w:tblCellMar>
              </w:tblPrEx>
              <w:trPr>
                <w:trHeight w:val="383"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4</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周</w:t>
                  </w:r>
                  <w:r>
                    <w:rPr>
                      <w:rFonts w:hint="eastAsia"/>
                      <w:szCs w:val="21"/>
                    </w:rPr>
                    <w:t>转</w:t>
                  </w:r>
                  <w:r>
                    <w:rPr>
                      <w:szCs w:val="21"/>
                    </w:rPr>
                    <w:t>箱/纸箱输送机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25081</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米</w:t>
                  </w:r>
                </w:p>
              </w:tc>
            </w:tr>
            <w:tr>
              <w:tblPrEx>
                <w:tblLayout w:type="fixed"/>
                <w:tblCellMar>
                  <w:top w:w="0" w:type="dxa"/>
                  <w:left w:w="108" w:type="dxa"/>
                  <w:bottom w:w="0" w:type="dxa"/>
                  <w:right w:w="108" w:type="dxa"/>
                </w:tblCellMar>
              </w:tblPrEx>
              <w:trPr>
                <w:trHeight w:val="261"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cr/>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w:t>
                  </w:r>
                  <w:r>
                    <w:rPr>
                      <w:rFonts w:hint="eastAsia"/>
                      <w:szCs w:val="21"/>
                    </w:rPr>
                    <w:t>输送</w:t>
                  </w:r>
                  <w:r>
                    <w:rPr>
                      <w:szCs w:val="21"/>
                    </w:rPr>
                    <w:t>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240</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米</w:t>
                  </w:r>
                </w:p>
              </w:tc>
            </w:tr>
            <w:tr>
              <w:tblPrEx>
                <w:tblLayout w:type="fixed"/>
                <w:tblCellMar>
                  <w:top w:w="0" w:type="dxa"/>
                  <w:left w:w="108" w:type="dxa"/>
                  <w:bottom w:w="0" w:type="dxa"/>
                  <w:right w:w="108" w:type="dxa"/>
                </w:tblCellMar>
              </w:tblPrEx>
              <w:trPr>
                <w:trHeight w:val="379"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6</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阁楼货架</w:t>
                  </w:r>
                </w:p>
              </w:tc>
              <w:tc>
                <w:tcPr>
                  <w:tcW w:w="2835" w:type="dxa"/>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11464</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256"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7</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托盘补货的流力架</w:t>
                  </w:r>
                </w:p>
              </w:tc>
              <w:tc>
                <w:tcPr>
                  <w:tcW w:w="2835" w:type="dxa"/>
                  <w:tcBorders>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5160</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托盘储位</w:t>
                  </w:r>
                </w:p>
              </w:tc>
            </w:tr>
            <w:tr>
              <w:tblPrEx>
                <w:tblLayout w:type="fixed"/>
                <w:tblCellMar>
                  <w:top w:w="0" w:type="dxa"/>
                  <w:left w:w="108" w:type="dxa"/>
                  <w:bottom w:w="0" w:type="dxa"/>
                  <w:right w:w="108" w:type="dxa"/>
                </w:tblCellMar>
              </w:tblPrEx>
              <w:trPr>
                <w:trHeight w:val="503"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8</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托盘补货的流力架通道</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8600</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流箱货道</w:t>
                  </w:r>
                </w:p>
              </w:tc>
            </w:tr>
            <w:tr>
              <w:tblPrEx>
                <w:tblLayout w:type="fixed"/>
                <w:tblCellMar>
                  <w:top w:w="0" w:type="dxa"/>
                  <w:left w:w="108" w:type="dxa"/>
                  <w:bottom w:w="0" w:type="dxa"/>
                  <w:right w:w="108" w:type="dxa"/>
                </w:tblCellMar>
              </w:tblPrEx>
              <w:trPr>
                <w:trHeight w:val="270"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9</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搁板货架</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1283净宽*590深*2200高</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2356</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219"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10</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托盘货架</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8092</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面</w:t>
                  </w:r>
                </w:p>
              </w:tc>
            </w:tr>
            <w:tr>
              <w:tblPrEx>
                <w:tblLayout w:type="fixed"/>
                <w:tblCellMar>
                  <w:top w:w="0" w:type="dxa"/>
                  <w:left w:w="108" w:type="dxa"/>
                  <w:bottom w:w="0" w:type="dxa"/>
                  <w:right w:w="108" w:type="dxa"/>
                </w:tblCellMar>
              </w:tblPrEx>
              <w:trPr>
                <w:trHeight w:val="157"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11</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SCS 发货</w:t>
                  </w:r>
                </w:p>
              </w:tc>
              <w:tc>
                <w:tcPr>
                  <w:tcW w:w="2835"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20</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单元</w:t>
                  </w:r>
                </w:p>
              </w:tc>
            </w:tr>
            <w:tr>
              <w:tblPrEx>
                <w:tblLayout w:type="fixed"/>
                <w:tblCellMar>
                  <w:top w:w="0" w:type="dxa"/>
                  <w:left w:w="108" w:type="dxa"/>
                  <w:bottom w:w="0" w:type="dxa"/>
                  <w:right w:w="108" w:type="dxa"/>
                </w:tblCellMar>
              </w:tblPrEx>
              <w:trPr>
                <w:trHeight w:val="270"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12</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包装分拣系统</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套</w:t>
                  </w:r>
                </w:p>
              </w:tc>
            </w:tr>
            <w:tr>
              <w:tblPrEx>
                <w:tblLayout w:type="fixed"/>
                <w:tblCellMar>
                  <w:top w:w="0" w:type="dxa"/>
                  <w:left w:w="108" w:type="dxa"/>
                  <w:bottom w:w="0" w:type="dxa"/>
                  <w:right w:w="108" w:type="dxa"/>
                </w:tblCellMar>
              </w:tblPrEx>
              <w:trPr>
                <w:trHeight w:val="285"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13</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路径分拣机系统</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类型：交叉皮带式</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套</w:t>
                  </w:r>
                </w:p>
              </w:tc>
            </w:tr>
            <w:tr>
              <w:tblPrEx>
                <w:tblLayout w:type="fixed"/>
                <w:tblCellMar>
                  <w:top w:w="0" w:type="dxa"/>
                  <w:left w:w="108" w:type="dxa"/>
                  <w:bottom w:w="0" w:type="dxa"/>
                  <w:right w:w="108" w:type="dxa"/>
                </w:tblCellMar>
              </w:tblPrEx>
              <w:trPr>
                <w:trHeight w:val="454"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14</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SCS旋转系统存储系统</w:t>
                  </w:r>
                </w:p>
              </w:tc>
              <w:tc>
                <w:tcPr>
                  <w:tcW w:w="2835"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42</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单元</w:t>
                  </w:r>
                </w:p>
              </w:tc>
            </w:tr>
            <w:tr>
              <w:tblPrEx>
                <w:tblLayout w:type="fixed"/>
                <w:tblCellMar>
                  <w:top w:w="0" w:type="dxa"/>
                  <w:left w:w="108" w:type="dxa"/>
                  <w:bottom w:w="0" w:type="dxa"/>
                  <w:right w:w="108" w:type="dxa"/>
                </w:tblCellMar>
              </w:tblPrEx>
              <w:trPr>
                <w:trHeight w:val="270"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15</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A字架</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22个模块</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1</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套</w:t>
                  </w:r>
                </w:p>
              </w:tc>
            </w:tr>
            <w:tr>
              <w:tblPrEx>
                <w:tblLayout w:type="fixed"/>
                <w:tblCellMar>
                  <w:top w:w="0" w:type="dxa"/>
                  <w:left w:w="108" w:type="dxa"/>
                  <w:bottom w:w="0" w:type="dxa"/>
                  <w:right w:w="108" w:type="dxa"/>
                </w:tblCellMar>
              </w:tblPrEx>
              <w:trPr>
                <w:trHeight w:val="285"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16</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流力架通道</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4235</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通道</w:t>
                  </w:r>
                </w:p>
              </w:tc>
            </w:tr>
            <w:tr>
              <w:tblPrEx>
                <w:tblLayout w:type="fixed"/>
                <w:tblCellMar>
                  <w:top w:w="0" w:type="dxa"/>
                  <w:left w:w="108" w:type="dxa"/>
                  <w:bottom w:w="0" w:type="dxa"/>
                  <w:right w:w="108" w:type="dxa"/>
                </w:tblCellMar>
              </w:tblPrEx>
              <w:trPr>
                <w:trHeight w:val="260"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cr/>
                  </w:r>
                  <w:r>
                    <w:rPr>
                      <w:szCs w:val="21"/>
                    </w:rPr>
                    <w:t>7</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电脑</w:t>
                  </w:r>
                </w:p>
              </w:tc>
              <w:tc>
                <w:tcPr>
                  <w:tcW w:w="2835"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515</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219"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18</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手持式扫描枪</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515</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451"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19</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产品测量器（可</w:t>
                  </w:r>
                  <w:r>
                    <w:rPr>
                      <w:rFonts w:hint="eastAsia"/>
                      <w:szCs w:val="21"/>
                    </w:rPr>
                    <w:t>选</w:t>
                  </w:r>
                  <w:r>
                    <w:rPr>
                      <w:szCs w:val="21"/>
                    </w:rPr>
                    <w:t>，由SAP决定）</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29</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351"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20</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计数测量器（可选，由SAP决定）</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209</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427"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21</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标签打印机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98</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405"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22</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包裹标签打印机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219</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131"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23</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包裹清单打印机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239</w:t>
                  </w:r>
                </w:p>
              </w:tc>
              <w:tc>
                <w:tcPr>
                  <w:tcW w:w="1188" w:type="dxa"/>
                  <w:tcBorders>
                    <w:top w:val="single" w:color="auto" w:sz="8" w:space="0"/>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77"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24</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发票打印机</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214</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r>
              <w:tblPrEx>
                <w:tblLayout w:type="fixed"/>
                <w:tblCellMar>
                  <w:top w:w="0" w:type="dxa"/>
                  <w:left w:w="108" w:type="dxa"/>
                  <w:bottom w:w="0" w:type="dxa"/>
                  <w:right w:w="108" w:type="dxa"/>
                </w:tblCellMar>
              </w:tblPrEx>
              <w:trPr>
                <w:trHeight w:val="179" w:hRule="atLeast"/>
                <w:jc w:val="center"/>
              </w:trPr>
              <w:tc>
                <w:tcPr>
                  <w:tcW w:w="685" w:type="dxa"/>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szCs w:val="21"/>
                    </w:rPr>
                  </w:pPr>
                  <w:r>
                    <w:rPr>
                      <w:szCs w:val="21"/>
                    </w:rPr>
                    <w:t>25</w:t>
                  </w:r>
                </w:p>
              </w:tc>
              <w:tc>
                <w:tcPr>
                  <w:tcW w:w="2834"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scanner RF手持</w:t>
                  </w:r>
                </w:p>
              </w:tc>
              <w:tc>
                <w:tcPr>
                  <w:tcW w:w="2835"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w:t>
                  </w:r>
                </w:p>
              </w:tc>
              <w:tc>
                <w:tcPr>
                  <w:tcW w:w="993"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315</w:t>
                  </w:r>
                </w:p>
              </w:tc>
              <w:tc>
                <w:tcPr>
                  <w:tcW w:w="1188" w:type="dxa"/>
                  <w:tcBorders>
                    <w:top w:val="nil"/>
                    <w:left w:val="nil"/>
                    <w:bottom w:val="single" w:color="auto" w:sz="4" w:space="0"/>
                    <w:right w:val="single" w:color="auto" w:sz="4" w:space="0"/>
                  </w:tcBorders>
                  <w:shd w:val="clear" w:color="auto" w:fill="auto"/>
                  <w:vAlign w:val="center"/>
                </w:tcPr>
                <w:p>
                  <w:pPr>
                    <w:spacing w:line="320" w:lineRule="exact"/>
                    <w:jc w:val="center"/>
                    <w:rPr>
                      <w:szCs w:val="21"/>
                    </w:rPr>
                  </w:pPr>
                  <w:r>
                    <w:rPr>
                      <w:szCs w:val="21"/>
                    </w:rPr>
                    <w:t>个</w:t>
                  </w:r>
                </w:p>
              </w:tc>
            </w:tr>
          </w:tbl>
          <w:p>
            <w:pPr>
              <w:spacing w:after="156" w:afterLines="50" w:line="360" w:lineRule="auto"/>
              <w:rPr>
                <w:b/>
                <w:bCs/>
                <w:sz w:val="24"/>
              </w:rPr>
            </w:pPr>
            <w:r>
              <w:rPr>
                <w:b/>
                <w:bCs/>
                <w:sz w:val="24"/>
              </w:rPr>
              <w:t>水及能源消耗量</w:t>
            </w:r>
          </w:p>
          <w:tbl>
            <w:tblPr>
              <w:tblStyle w:val="33"/>
              <w:tblW w:w="8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2135"/>
              <w:gridCol w:w="2135"/>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2135" w:type="dxa"/>
                  <w:shd w:val="clear" w:color="auto" w:fill="auto"/>
                  <w:vAlign w:val="center"/>
                </w:tcPr>
                <w:p>
                  <w:pPr>
                    <w:spacing w:line="320" w:lineRule="exact"/>
                    <w:jc w:val="center"/>
                    <w:rPr>
                      <w:b/>
                      <w:szCs w:val="21"/>
                    </w:rPr>
                  </w:pPr>
                  <w:r>
                    <w:rPr>
                      <w:b/>
                      <w:szCs w:val="21"/>
                    </w:rPr>
                    <w:t>名称</w:t>
                  </w:r>
                </w:p>
              </w:tc>
              <w:tc>
                <w:tcPr>
                  <w:tcW w:w="2135" w:type="dxa"/>
                  <w:shd w:val="clear" w:color="auto" w:fill="auto"/>
                  <w:vAlign w:val="center"/>
                </w:tcPr>
                <w:p>
                  <w:pPr>
                    <w:spacing w:line="320" w:lineRule="exact"/>
                    <w:jc w:val="center"/>
                    <w:rPr>
                      <w:b/>
                      <w:szCs w:val="21"/>
                    </w:rPr>
                  </w:pPr>
                  <w:r>
                    <w:rPr>
                      <w:b/>
                      <w:szCs w:val="21"/>
                    </w:rPr>
                    <w:t>消耗量</w:t>
                  </w:r>
                </w:p>
              </w:tc>
              <w:tc>
                <w:tcPr>
                  <w:tcW w:w="2135" w:type="dxa"/>
                  <w:shd w:val="clear" w:color="auto" w:fill="auto"/>
                  <w:vAlign w:val="center"/>
                </w:tcPr>
                <w:p>
                  <w:pPr>
                    <w:spacing w:line="320" w:lineRule="exact"/>
                    <w:jc w:val="center"/>
                    <w:rPr>
                      <w:b/>
                      <w:szCs w:val="21"/>
                    </w:rPr>
                  </w:pPr>
                  <w:r>
                    <w:rPr>
                      <w:b/>
                      <w:szCs w:val="21"/>
                    </w:rPr>
                    <w:t>名  称</w:t>
                  </w:r>
                </w:p>
              </w:tc>
              <w:tc>
                <w:tcPr>
                  <w:tcW w:w="2135" w:type="dxa"/>
                  <w:shd w:val="clear" w:color="auto" w:fill="auto"/>
                  <w:vAlign w:val="center"/>
                </w:tcPr>
                <w:p>
                  <w:pPr>
                    <w:spacing w:line="320" w:lineRule="exact"/>
                    <w:jc w:val="center"/>
                    <w:rPr>
                      <w:b/>
                      <w:szCs w:val="21"/>
                    </w:rPr>
                  </w:pPr>
                  <w:r>
                    <w:rPr>
                      <w:b/>
                      <w:szCs w:val="21"/>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2135" w:type="dxa"/>
                  <w:shd w:val="clear" w:color="auto" w:fill="auto"/>
                  <w:vAlign w:val="center"/>
                </w:tcPr>
                <w:p>
                  <w:pPr>
                    <w:spacing w:line="320" w:lineRule="exact"/>
                    <w:jc w:val="center"/>
                    <w:rPr>
                      <w:szCs w:val="21"/>
                    </w:rPr>
                  </w:pPr>
                  <w:r>
                    <w:rPr>
                      <w:szCs w:val="21"/>
                    </w:rPr>
                    <w:t>水(吨/年)</w:t>
                  </w:r>
                </w:p>
              </w:tc>
              <w:tc>
                <w:tcPr>
                  <w:tcW w:w="2135" w:type="dxa"/>
                  <w:shd w:val="clear" w:color="auto" w:fill="auto"/>
                  <w:vAlign w:val="center"/>
                </w:tcPr>
                <w:p>
                  <w:pPr>
                    <w:spacing w:line="320" w:lineRule="exact"/>
                    <w:jc w:val="center"/>
                    <w:rPr>
                      <w:szCs w:val="21"/>
                    </w:rPr>
                  </w:pPr>
                  <w:r>
                    <w:rPr>
                      <w:rFonts w:hint="eastAsia"/>
                      <w:szCs w:val="21"/>
                    </w:rPr>
                    <w:t>60935</w:t>
                  </w:r>
                </w:p>
              </w:tc>
              <w:tc>
                <w:tcPr>
                  <w:tcW w:w="2135" w:type="dxa"/>
                  <w:shd w:val="clear" w:color="auto" w:fill="auto"/>
                  <w:vAlign w:val="center"/>
                </w:tcPr>
                <w:p>
                  <w:pPr>
                    <w:spacing w:line="320" w:lineRule="exact"/>
                    <w:jc w:val="center"/>
                    <w:rPr>
                      <w:szCs w:val="21"/>
                    </w:rPr>
                  </w:pPr>
                  <w:r>
                    <w:rPr>
                      <w:szCs w:val="21"/>
                    </w:rPr>
                    <w:t>柴油(吨/年)</w:t>
                  </w:r>
                </w:p>
              </w:tc>
              <w:tc>
                <w:tcPr>
                  <w:tcW w:w="2135" w:type="dxa"/>
                  <w:shd w:val="clear" w:color="auto" w:fill="auto"/>
                  <w:vAlign w:val="center"/>
                </w:tcPr>
                <w:p>
                  <w:pPr>
                    <w:spacing w:line="32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2135" w:type="dxa"/>
                  <w:shd w:val="clear" w:color="auto" w:fill="auto"/>
                  <w:vAlign w:val="center"/>
                </w:tcPr>
                <w:p>
                  <w:pPr>
                    <w:tabs>
                      <w:tab w:val="left" w:pos="0"/>
                    </w:tabs>
                    <w:spacing w:line="320" w:lineRule="exact"/>
                    <w:jc w:val="center"/>
                    <w:rPr>
                      <w:szCs w:val="21"/>
                    </w:rPr>
                  </w:pPr>
                  <w:r>
                    <w:rPr>
                      <w:szCs w:val="21"/>
                    </w:rPr>
                    <w:t>电(千瓦时/年)</w:t>
                  </w:r>
                </w:p>
              </w:tc>
              <w:tc>
                <w:tcPr>
                  <w:tcW w:w="2135" w:type="dxa"/>
                  <w:shd w:val="clear" w:color="auto" w:fill="auto"/>
                  <w:vAlign w:val="center"/>
                </w:tcPr>
                <w:p>
                  <w:pPr>
                    <w:tabs>
                      <w:tab w:val="left" w:pos="0"/>
                    </w:tabs>
                    <w:spacing w:line="320" w:lineRule="exact"/>
                    <w:jc w:val="center"/>
                    <w:rPr>
                      <w:szCs w:val="21"/>
                    </w:rPr>
                  </w:pPr>
                  <w:r>
                    <w:rPr>
                      <w:szCs w:val="21"/>
                    </w:rPr>
                    <w:t>455.9万</w:t>
                  </w:r>
                </w:p>
              </w:tc>
              <w:tc>
                <w:tcPr>
                  <w:tcW w:w="2135" w:type="dxa"/>
                  <w:shd w:val="clear" w:color="auto" w:fill="auto"/>
                  <w:vAlign w:val="center"/>
                </w:tcPr>
                <w:p>
                  <w:pPr>
                    <w:tabs>
                      <w:tab w:val="left" w:pos="0"/>
                    </w:tabs>
                    <w:spacing w:line="320" w:lineRule="exact"/>
                    <w:jc w:val="center"/>
                    <w:rPr>
                      <w:spacing w:val="-20"/>
                      <w:szCs w:val="21"/>
                    </w:rPr>
                  </w:pPr>
                  <w:r>
                    <w:rPr>
                      <w:spacing w:val="-20"/>
                      <w:szCs w:val="21"/>
                    </w:rPr>
                    <w:t>燃天然气(标立/米/年)</w:t>
                  </w:r>
                </w:p>
              </w:tc>
              <w:tc>
                <w:tcPr>
                  <w:tcW w:w="2135" w:type="dxa"/>
                  <w:shd w:val="clear" w:color="auto" w:fill="auto"/>
                  <w:vAlign w:val="center"/>
                </w:tcPr>
                <w:p>
                  <w:pPr>
                    <w:tabs>
                      <w:tab w:val="left" w:pos="0"/>
                    </w:tabs>
                    <w:spacing w:line="320" w:lineRule="exact"/>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 w:hRule="atLeast"/>
              </w:trPr>
              <w:tc>
                <w:tcPr>
                  <w:tcW w:w="2135" w:type="dxa"/>
                  <w:shd w:val="clear" w:color="auto" w:fill="auto"/>
                  <w:vAlign w:val="center"/>
                </w:tcPr>
                <w:p>
                  <w:pPr>
                    <w:tabs>
                      <w:tab w:val="left" w:pos="0"/>
                    </w:tabs>
                    <w:spacing w:line="320" w:lineRule="exact"/>
                    <w:jc w:val="center"/>
                    <w:rPr>
                      <w:szCs w:val="21"/>
                    </w:rPr>
                  </w:pPr>
                  <w:r>
                    <w:rPr>
                      <w:szCs w:val="21"/>
                    </w:rPr>
                    <w:t>燃煤(吨/年)</w:t>
                  </w:r>
                </w:p>
              </w:tc>
              <w:tc>
                <w:tcPr>
                  <w:tcW w:w="2135" w:type="dxa"/>
                  <w:shd w:val="clear" w:color="auto" w:fill="auto"/>
                  <w:vAlign w:val="center"/>
                </w:tcPr>
                <w:p>
                  <w:pPr>
                    <w:tabs>
                      <w:tab w:val="left" w:pos="0"/>
                    </w:tabs>
                    <w:spacing w:line="320" w:lineRule="exact"/>
                    <w:jc w:val="center"/>
                    <w:rPr>
                      <w:szCs w:val="21"/>
                    </w:rPr>
                  </w:pPr>
                  <w:r>
                    <w:rPr>
                      <w:szCs w:val="21"/>
                    </w:rPr>
                    <w:t>-</w:t>
                  </w:r>
                </w:p>
              </w:tc>
              <w:tc>
                <w:tcPr>
                  <w:tcW w:w="2135" w:type="dxa"/>
                  <w:shd w:val="clear" w:color="auto" w:fill="auto"/>
                  <w:vAlign w:val="center"/>
                </w:tcPr>
                <w:p>
                  <w:pPr>
                    <w:tabs>
                      <w:tab w:val="left" w:pos="0"/>
                    </w:tabs>
                    <w:spacing w:line="320" w:lineRule="exact"/>
                    <w:jc w:val="center"/>
                    <w:rPr>
                      <w:spacing w:val="-20"/>
                      <w:szCs w:val="21"/>
                    </w:rPr>
                  </w:pPr>
                  <w:r>
                    <w:rPr>
                      <w:szCs w:val="21"/>
                    </w:rPr>
                    <w:t>其 它</w:t>
                  </w:r>
                </w:p>
              </w:tc>
              <w:tc>
                <w:tcPr>
                  <w:tcW w:w="2135" w:type="dxa"/>
                  <w:shd w:val="clear" w:color="auto" w:fill="auto"/>
                  <w:vAlign w:val="center"/>
                </w:tcPr>
                <w:p>
                  <w:pPr>
                    <w:tabs>
                      <w:tab w:val="left" w:pos="0"/>
                    </w:tabs>
                    <w:spacing w:line="320" w:lineRule="exact"/>
                    <w:jc w:val="center"/>
                    <w:rPr>
                      <w:szCs w:val="21"/>
                    </w:rPr>
                  </w:pPr>
                  <w:r>
                    <w:rPr>
                      <w:szCs w:val="21"/>
                    </w:rPr>
                    <w:t>-</w:t>
                  </w:r>
                </w:p>
              </w:tc>
            </w:tr>
          </w:tbl>
          <w:p>
            <w:pPr>
              <w:spacing w:line="360" w:lineRule="auto"/>
              <w:rPr>
                <w:b/>
                <w:sz w:val="24"/>
              </w:rPr>
            </w:pPr>
            <w:r>
              <w:rPr>
                <w:b/>
                <w:sz w:val="24"/>
              </w:rPr>
              <w:t>废水(工业废水、生活废水)排水量及排放去向：</w:t>
            </w:r>
          </w:p>
          <w:p>
            <w:pPr>
              <w:spacing w:line="360" w:lineRule="auto"/>
              <w:ind w:firstLine="480" w:firstLineChars="200"/>
              <w:rPr>
                <w:rFonts w:hint="eastAsia"/>
                <w:sz w:val="24"/>
              </w:rPr>
            </w:pPr>
            <w:r>
              <w:rPr>
                <w:sz w:val="24"/>
              </w:rPr>
              <w:t>本项目不设食堂，废水主要为员工生活污水</w:t>
            </w:r>
            <w:r>
              <w:rPr>
                <w:rFonts w:hint="eastAsia"/>
                <w:sz w:val="24"/>
              </w:rPr>
              <w:t>，</w:t>
            </w:r>
            <w:r>
              <w:rPr>
                <w:sz w:val="24"/>
              </w:rPr>
              <w:t>生活污水</w:t>
            </w:r>
            <w:r>
              <w:rPr>
                <w:rFonts w:hint="eastAsia"/>
                <w:sz w:val="24"/>
              </w:rPr>
              <w:t>26816</w:t>
            </w:r>
            <w:r>
              <w:rPr>
                <w:sz w:val="24"/>
              </w:rPr>
              <w:t>m</w:t>
            </w:r>
            <w:r>
              <w:rPr>
                <w:sz w:val="24"/>
                <w:vertAlign w:val="superscript"/>
              </w:rPr>
              <w:t>3</w:t>
            </w:r>
            <w:r>
              <w:rPr>
                <w:sz w:val="24"/>
              </w:rPr>
              <w:t>/a经化粪池处理</w:t>
            </w:r>
            <w:r>
              <w:rPr>
                <w:rFonts w:hint="eastAsia"/>
                <w:sz w:val="24"/>
              </w:rPr>
              <w:t>后</w:t>
            </w:r>
            <w:r>
              <w:rPr>
                <w:sz w:val="24"/>
              </w:rPr>
              <w:t>接</w:t>
            </w:r>
            <w:r>
              <w:rPr>
                <w:rFonts w:hint="eastAsia"/>
                <w:sz w:val="24"/>
              </w:rPr>
              <w:t>管</w:t>
            </w:r>
            <w:r>
              <w:rPr>
                <w:sz w:val="24"/>
              </w:rPr>
              <w:t>城南污水处理厂处理，城南污水处理厂排放执行《城镇污水处理厂污染物排放标准》（GB18918-2002）中一级A标准，</w:t>
            </w:r>
            <w:r>
              <w:rPr>
                <w:rFonts w:hint="eastAsia"/>
                <w:sz w:val="24"/>
              </w:rPr>
              <w:t>尾水</w:t>
            </w:r>
            <w:r>
              <w:rPr>
                <w:sz w:val="24"/>
              </w:rPr>
              <w:t>排入长江。</w:t>
            </w: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 w:hRule="atLeast"/>
          <w:jc w:val="center"/>
        </w:trPr>
        <w:tc>
          <w:tcPr>
            <w:tcW w:w="8560" w:type="dxa"/>
            <w:gridSpan w:val="12"/>
            <w:vAlign w:val="center"/>
          </w:tcPr>
          <w:p>
            <w:pPr>
              <w:snapToGrid w:val="0"/>
              <w:spacing w:line="360" w:lineRule="auto"/>
              <w:jc w:val="left"/>
              <w:rPr>
                <w:b/>
                <w:sz w:val="24"/>
              </w:rPr>
            </w:pPr>
            <w:r>
              <w:rPr>
                <w:b/>
                <w:sz w:val="24"/>
              </w:rPr>
              <w:t>放射性同位素和伴有电磁辐射的设施的使用情况：</w:t>
            </w:r>
          </w:p>
          <w:p>
            <w:pPr>
              <w:spacing w:line="360" w:lineRule="auto"/>
              <w:ind w:firstLine="480" w:firstLineChars="200"/>
              <w:rPr>
                <w:sz w:val="24"/>
              </w:rPr>
            </w:pPr>
            <w:r>
              <w:rPr>
                <w:sz w:val="24"/>
              </w:rPr>
              <w:t>无。</w:t>
            </w:r>
          </w:p>
          <w:p>
            <w:pPr>
              <w:spacing w:line="360" w:lineRule="auto"/>
              <w:rPr>
                <w:color w:val="FF0000"/>
                <w:sz w:val="24"/>
              </w:rPr>
            </w:pPr>
          </w:p>
        </w:tc>
      </w:tr>
    </w:tbl>
    <w:p>
      <w:pPr>
        <w:outlineLvl w:val="0"/>
        <w:rPr>
          <w:rFonts w:hint="eastAsia" w:eastAsia="黑体"/>
          <w:color w:val="000000"/>
          <w:sz w:val="24"/>
        </w:rPr>
      </w:pPr>
      <w:r>
        <w:rPr>
          <w:rFonts w:eastAsia="黑体"/>
          <w:color w:val="000000"/>
          <w:sz w:val="24"/>
        </w:rPr>
        <w:t>2、工程内容及规模</w:t>
      </w:r>
    </w:p>
    <w:tbl>
      <w:tblPr>
        <w:tblStyle w:val="33"/>
        <w:tblW w:w="8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5" w:hRule="atLeast"/>
          <w:jc w:val="center"/>
        </w:trPr>
        <w:tc>
          <w:tcPr>
            <w:tcW w:w="8560" w:type="dxa"/>
            <w:vAlign w:val="center"/>
          </w:tcPr>
          <w:p>
            <w:pPr>
              <w:spacing w:line="360" w:lineRule="auto"/>
              <w:rPr>
                <w:b/>
                <w:color w:val="000000"/>
                <w:sz w:val="24"/>
              </w:rPr>
            </w:pPr>
            <w:r>
              <w:rPr>
                <w:b/>
                <w:color w:val="000000"/>
                <w:sz w:val="24"/>
              </w:rPr>
              <w:t>2.1、项目由来</w:t>
            </w:r>
          </w:p>
          <w:p>
            <w:pPr>
              <w:adjustRightInd w:val="0"/>
              <w:snapToGrid w:val="0"/>
              <w:spacing w:line="360" w:lineRule="auto"/>
              <w:ind w:firstLine="480" w:firstLineChars="200"/>
              <w:rPr>
                <w:rFonts w:hint="eastAsia"/>
                <w:kern w:val="0"/>
                <w:sz w:val="24"/>
              </w:rPr>
            </w:pPr>
            <w:r>
              <w:rPr>
                <w:kern w:val="0"/>
                <w:sz w:val="24"/>
              </w:rPr>
              <w:t>苏宁</w:t>
            </w:r>
            <w:r>
              <w:rPr>
                <w:rFonts w:hint="eastAsia"/>
                <w:kern w:val="0"/>
                <w:sz w:val="24"/>
              </w:rPr>
              <w:t>控股集团</w:t>
            </w:r>
            <w:r>
              <w:rPr>
                <w:kern w:val="0"/>
                <w:sz w:val="24"/>
              </w:rPr>
              <w:t>（以下简称“苏宁”）是中国3C家电连锁零售企业的领先者，国家商务部重点培育的“全国15家大型商业企业集团”之一。目前，苏宁的国内连锁网络覆盖了华东一区、华东二区、华北、华南、西北、西南、东北、华中8个行政区域，连锁发展全面由横向扩张转向纵向渗透。二、三级城市连锁发展初具成效，建立了从采购、零售、仓储、配送、安装、维修至保养的一体化服务体系，是国内最大的家电及消费电子产品专营连锁企业之一。2008年，苏宁易购上线以来，2009年销售额30亿，2010年销售额58亿，同比增长93.3%；2011年销售额80亿，同比增长37.9%； 2012年对苏宁易购进行全面的升级和产业助推，预计销售额将达到300亿</w:t>
            </w:r>
            <w:r>
              <w:rPr>
                <w:rFonts w:hint="eastAsia"/>
                <w:kern w:val="0"/>
                <w:sz w:val="24"/>
              </w:rPr>
              <w:t>，</w:t>
            </w:r>
            <w:r>
              <w:rPr>
                <w:kern w:val="0"/>
                <w:sz w:val="24"/>
              </w:rPr>
              <w:t>日订单处理量达30万单/天，销售高峰期预计达到100万/天。</w:t>
            </w:r>
            <w:r>
              <w:rPr>
                <w:rFonts w:hint="eastAsia"/>
                <w:kern w:val="0"/>
                <w:sz w:val="24"/>
              </w:rPr>
              <w:t>苏宁电器股份有限公司于2006年投资1.6亿元人民币建设了（江苏）物流中心项目，建设内容包括物流配送中心、研发办公楼、数据中心、物流及售后楼、食堂等，该项目已取得南京市雨花台区环保局的环评批复。</w:t>
            </w:r>
          </w:p>
          <w:p>
            <w:pPr>
              <w:adjustRightInd w:val="0"/>
              <w:snapToGrid w:val="0"/>
              <w:spacing w:line="360" w:lineRule="auto"/>
              <w:ind w:firstLine="480" w:firstLineChars="200"/>
              <w:rPr>
                <w:rFonts w:hint="eastAsia"/>
                <w:kern w:val="0"/>
                <w:sz w:val="24"/>
              </w:rPr>
            </w:pPr>
            <w:r>
              <w:rPr>
                <w:rFonts w:hint="eastAsia"/>
                <w:kern w:val="0"/>
                <w:sz w:val="24"/>
              </w:rPr>
              <w:t>南京爱普莱斯高新产业有限公司</w:t>
            </w:r>
            <w:r>
              <w:rPr>
                <w:kern w:val="0"/>
                <w:sz w:val="24"/>
              </w:rPr>
              <w:t>是苏宁</w:t>
            </w:r>
            <w:r>
              <w:rPr>
                <w:rFonts w:hint="eastAsia"/>
                <w:kern w:val="0"/>
                <w:sz w:val="24"/>
              </w:rPr>
              <w:t>控股集团</w:t>
            </w:r>
            <w:r>
              <w:rPr>
                <w:kern w:val="0"/>
                <w:sz w:val="24"/>
              </w:rPr>
              <w:t>为建设雨花物流工业园，同时为积极响应雨花区政府、雨花经济开发区管委会的号召而设立的分公司</w:t>
            </w:r>
            <w:r>
              <w:rPr>
                <w:rFonts w:hint="eastAsia"/>
                <w:kern w:val="0"/>
                <w:sz w:val="24"/>
              </w:rPr>
              <w:t>。南京爱普莱斯于2006年投资150000万元，在南京雨花经济开发区建设年产100万台空调、100万台无氟冰箱、100万台白色小家电产品项目，项目占地面积466669平方米（697.8亩）。该项目环境影响报告表已于2006年10月15日获得了南京市雨花台区环保局的环评批复（环评批复见附件）。2012年公司从长远发展的战略布局出发，对公司内部作出了整合、梳理，将公司名称由南京爱普莱斯高新科技有限公司更名为南京鼎邦网络科技有限公司。同时对原有“年产100万台空调、100万台无氟冰箱、100万台白色小家电产品项目”进行调整。调整后，建设项目分为A区和B区，其中原有项目地块东南侧研发A区项目</w:t>
            </w:r>
            <w:r>
              <w:rPr>
                <w:kern w:val="0"/>
                <w:sz w:val="24"/>
              </w:rPr>
              <w:t>占地面积约</w:t>
            </w:r>
            <w:r>
              <w:rPr>
                <w:rFonts w:hint="eastAsia"/>
                <w:kern w:val="0"/>
                <w:sz w:val="24"/>
              </w:rPr>
              <w:t>69825</w:t>
            </w:r>
            <w:r>
              <w:rPr>
                <w:kern w:val="0"/>
                <w:sz w:val="24"/>
              </w:rPr>
              <w:t>平方米，</w:t>
            </w:r>
            <w:r>
              <w:rPr>
                <w:rFonts w:hint="eastAsia"/>
                <w:kern w:val="0"/>
                <w:sz w:val="24"/>
              </w:rPr>
              <w:t>单独办理了规划许可及施工许可证，主要建设内容为研发楼、生活配套用房、会议中心及产品展示中心，该项目已进行环评修编并于2015年取得南京市雨花台区环保局的批复（雨环表复【2015】27号）。</w:t>
            </w:r>
            <w:r>
              <w:rPr>
                <w:kern w:val="0"/>
                <w:sz w:val="24"/>
              </w:rPr>
              <w:t>为了满足苏宁易购的快速发展</w:t>
            </w:r>
            <w:r>
              <w:rPr>
                <w:rFonts w:hint="eastAsia"/>
                <w:kern w:val="0"/>
                <w:sz w:val="24"/>
              </w:rPr>
              <w:t>，原有项目B区重新办理了立项（谷发展项字【2013】39号），</w:t>
            </w:r>
            <w:r>
              <w:rPr>
                <w:kern w:val="0"/>
                <w:sz w:val="24"/>
              </w:rPr>
              <w:t>南京鼎邦网络科技有限公司投资</w:t>
            </w:r>
            <w:r>
              <w:rPr>
                <w:sz w:val="24"/>
              </w:rPr>
              <w:t>94281.9万元建设雨花物流自动化二期项目</w:t>
            </w:r>
            <w:r>
              <w:rPr>
                <w:rFonts w:hint="eastAsia"/>
                <w:kern w:val="0"/>
                <w:sz w:val="24"/>
              </w:rPr>
              <w:t>。原有年产100万台空调、100万台无氟冰箱、100万台白色小家电产品项目将不再建设。</w:t>
            </w:r>
          </w:p>
          <w:p>
            <w:pPr>
              <w:adjustRightInd w:val="0"/>
              <w:snapToGrid w:val="0"/>
              <w:spacing w:line="360" w:lineRule="auto"/>
              <w:ind w:firstLine="480" w:firstLineChars="200"/>
              <w:rPr>
                <w:sz w:val="24"/>
              </w:rPr>
            </w:pPr>
            <w:r>
              <w:rPr>
                <w:sz w:val="24"/>
              </w:rPr>
              <w:t>雨花物流自动化二期项目总用地面积396449 m</w:t>
            </w:r>
            <w:r>
              <w:rPr>
                <w:sz w:val="24"/>
                <w:vertAlign w:val="superscript"/>
              </w:rPr>
              <w:t>2</w:t>
            </w:r>
            <w:r>
              <w:rPr>
                <w:sz w:val="24"/>
              </w:rPr>
              <w:t>，总建筑面积516562.44m</w:t>
            </w:r>
            <w:r>
              <w:rPr>
                <w:sz w:val="24"/>
                <w:vertAlign w:val="superscript"/>
              </w:rPr>
              <w:t>2</w:t>
            </w:r>
            <w:r>
              <w:rPr>
                <w:sz w:val="24"/>
              </w:rPr>
              <w:t>，主要构筑物主体以物流仓库、</w:t>
            </w:r>
            <w:r>
              <w:rPr>
                <w:rFonts w:hint="eastAsia"/>
                <w:sz w:val="24"/>
              </w:rPr>
              <w:t>研发办公、分拣</w:t>
            </w:r>
            <w:r>
              <w:rPr>
                <w:sz w:val="24"/>
              </w:rPr>
              <w:t>中心及配套门卫等，以支持华东地区为主，商品将涉及家用电器和日用百货两大类型，其中百货类商品销售额占比将达到64.5%，存储</w:t>
            </w:r>
            <w:r>
              <w:rPr>
                <w:rFonts w:hint="eastAsia"/>
                <w:sz w:val="24"/>
              </w:rPr>
              <w:t>商品</w:t>
            </w:r>
            <w:r>
              <w:rPr>
                <w:sz w:val="24"/>
              </w:rPr>
              <w:t>涉及服装鞋帽、婴儿用品、</w:t>
            </w:r>
            <w:r>
              <w:rPr>
                <w:rFonts w:hint="eastAsia"/>
                <w:sz w:val="24"/>
              </w:rPr>
              <w:t>包装食品</w:t>
            </w:r>
            <w:r>
              <w:rPr>
                <w:sz w:val="24"/>
              </w:rPr>
              <w:t>、化妆品、汽车用品、珠宝、书籍、乐器</w:t>
            </w:r>
            <w:r>
              <w:rPr>
                <w:rFonts w:hint="eastAsia"/>
                <w:sz w:val="24"/>
              </w:rPr>
              <w:t>、音像产品、健康美容、运动户外、厨具家具、母婴产品</w:t>
            </w:r>
            <w:r>
              <w:rPr>
                <w:sz w:val="24"/>
              </w:rPr>
              <w:t>等16个类别。</w:t>
            </w:r>
            <w:r>
              <w:rPr>
                <w:rFonts w:hint="eastAsia"/>
                <w:sz w:val="24"/>
              </w:rPr>
              <w:t>项目研发办公区，主要功能为物流配送研发办公用房，包括物流软件研发，网站维护、数据中心及资料库，无工业生产。根据现场勘查，项目仓储物流区仓库主体工程及分拣中心已基本建成，南京市雨花台区环境保护局对建设单位已进行了处罚，要求停止项目建设，并尽快落实环评审批手续。</w:t>
            </w:r>
          </w:p>
          <w:p>
            <w:pPr>
              <w:adjustRightInd w:val="0"/>
              <w:snapToGrid w:val="0"/>
              <w:spacing w:line="360" w:lineRule="auto"/>
              <w:ind w:firstLine="480" w:firstLineChars="200"/>
              <w:rPr>
                <w:kern w:val="0"/>
                <w:sz w:val="24"/>
              </w:rPr>
            </w:pPr>
            <w:r>
              <w:rPr>
                <w:sz w:val="24"/>
              </w:rPr>
              <w:t>根据《中华人民共和国环境保护法》（2014年）、《中华人民共和国环境影响评价法》（2002年）和《建设项目环境保护管理条例》（国务院第253号令）等法律法规的有关规定，受</w:t>
            </w:r>
            <w:r>
              <w:rPr>
                <w:color w:val="000000"/>
                <w:sz w:val="24"/>
              </w:rPr>
              <w:t>南京鼎邦网络科技有限公司</w:t>
            </w:r>
            <w:r>
              <w:rPr>
                <w:sz w:val="24"/>
              </w:rPr>
              <w:t>的委托，南京赛特环境工程有限公司承担该建设项目的环境影响评价工作。</w:t>
            </w:r>
            <w:r>
              <w:rPr>
                <w:snapToGrid w:val="0"/>
                <w:color w:val="000000"/>
                <w:sz w:val="24"/>
              </w:rPr>
              <w:t>我单位接受委托后，在现场踏勘、资料收集和初步调查研究的基础上编写了本项目环境影响报告表。</w:t>
            </w:r>
          </w:p>
          <w:p>
            <w:pPr>
              <w:spacing w:line="360" w:lineRule="auto"/>
              <w:rPr>
                <w:b/>
                <w:bCs/>
                <w:sz w:val="24"/>
              </w:rPr>
            </w:pPr>
            <w:r>
              <w:rPr>
                <w:b/>
                <w:bCs/>
                <w:sz w:val="24"/>
              </w:rPr>
              <w:t>2.2、项目概况</w:t>
            </w:r>
          </w:p>
          <w:p>
            <w:pPr>
              <w:adjustRightInd w:val="0"/>
              <w:snapToGrid w:val="0"/>
              <w:spacing w:line="360" w:lineRule="auto"/>
              <w:ind w:firstLine="480" w:firstLineChars="200"/>
              <w:rPr>
                <w:sz w:val="24"/>
              </w:rPr>
            </w:pPr>
            <w:r>
              <w:rPr>
                <w:sz w:val="24"/>
              </w:rPr>
              <w:t>1）、拟建项目概况</w:t>
            </w:r>
          </w:p>
          <w:p>
            <w:pPr>
              <w:adjustRightInd w:val="0"/>
              <w:snapToGrid w:val="0"/>
              <w:spacing w:line="360" w:lineRule="auto"/>
              <w:ind w:firstLine="480" w:firstLineChars="200"/>
              <w:rPr>
                <w:sz w:val="24"/>
              </w:rPr>
            </w:pPr>
            <w:r>
              <w:rPr>
                <w:sz w:val="24"/>
              </w:rPr>
              <w:t>建设项目名称：南京鼎邦网络科技有限公司雨花物流自动化二期项目</w:t>
            </w:r>
          </w:p>
          <w:p>
            <w:pPr>
              <w:adjustRightInd w:val="0"/>
              <w:snapToGrid w:val="0"/>
              <w:spacing w:line="360" w:lineRule="auto"/>
              <w:ind w:firstLine="480" w:firstLineChars="200"/>
              <w:rPr>
                <w:sz w:val="24"/>
              </w:rPr>
            </w:pPr>
            <w:r>
              <w:rPr>
                <w:sz w:val="24"/>
              </w:rPr>
              <w:t>建设单位：南京鼎邦网络科技有限公司</w:t>
            </w:r>
          </w:p>
          <w:p>
            <w:pPr>
              <w:adjustRightInd w:val="0"/>
              <w:snapToGrid w:val="0"/>
              <w:spacing w:line="360" w:lineRule="auto"/>
              <w:ind w:firstLine="480" w:firstLineChars="200"/>
              <w:rPr>
                <w:sz w:val="24"/>
              </w:rPr>
            </w:pPr>
            <w:r>
              <w:rPr>
                <w:sz w:val="24"/>
              </w:rPr>
              <w:t>行业类别：G5990其他仓储业</w:t>
            </w:r>
          </w:p>
          <w:p>
            <w:pPr>
              <w:adjustRightInd w:val="0"/>
              <w:snapToGrid w:val="0"/>
              <w:spacing w:line="360" w:lineRule="auto"/>
              <w:ind w:firstLine="480" w:firstLineChars="200"/>
              <w:rPr>
                <w:sz w:val="24"/>
              </w:rPr>
            </w:pPr>
            <w:r>
              <w:rPr>
                <w:sz w:val="24"/>
              </w:rPr>
              <w:t>建设性质：</w:t>
            </w:r>
            <w:r>
              <w:rPr>
                <w:rFonts w:hint="eastAsia"/>
                <w:sz w:val="24"/>
              </w:rPr>
              <w:t>新</w:t>
            </w:r>
            <w:r>
              <w:rPr>
                <w:sz w:val="24"/>
              </w:rPr>
              <w:t>建</w:t>
            </w:r>
          </w:p>
          <w:p>
            <w:pPr>
              <w:adjustRightInd w:val="0"/>
              <w:snapToGrid w:val="0"/>
              <w:spacing w:line="360" w:lineRule="auto"/>
              <w:ind w:firstLine="480" w:firstLineChars="200"/>
              <w:rPr>
                <w:sz w:val="24"/>
              </w:rPr>
            </w:pPr>
            <w:r>
              <w:rPr>
                <w:sz w:val="24"/>
              </w:rPr>
              <w:t>建设地点：南京市雨花台区雨花经济开发区，龙藏大道以南、二号路以北、</w:t>
            </w:r>
            <w:r>
              <w:rPr>
                <w:rFonts w:hint="eastAsia"/>
                <w:sz w:val="24"/>
              </w:rPr>
              <w:t>苏宁</w:t>
            </w:r>
            <w:r>
              <w:rPr>
                <w:sz w:val="24"/>
              </w:rPr>
              <w:t>物流项目以西</w:t>
            </w:r>
            <w:r>
              <w:rPr>
                <w:rFonts w:hint="eastAsia"/>
                <w:sz w:val="24"/>
              </w:rPr>
              <w:t>。</w:t>
            </w:r>
          </w:p>
          <w:p>
            <w:pPr>
              <w:adjustRightInd w:val="0"/>
              <w:snapToGrid w:val="0"/>
              <w:spacing w:line="360" w:lineRule="auto"/>
              <w:ind w:firstLine="480" w:firstLineChars="200"/>
              <w:rPr>
                <w:sz w:val="24"/>
              </w:rPr>
            </w:pPr>
            <w:r>
              <w:rPr>
                <w:sz w:val="24"/>
              </w:rPr>
              <w:t>投资总额：94281.9万元。其中项目环保投资约</w:t>
            </w:r>
            <w:r>
              <w:rPr>
                <w:rFonts w:hint="eastAsia"/>
                <w:sz w:val="24"/>
              </w:rPr>
              <w:t>90</w:t>
            </w:r>
            <w:r>
              <w:rPr>
                <w:sz w:val="24"/>
              </w:rPr>
              <w:t>万元，占投资总额的0.</w:t>
            </w:r>
            <w:r>
              <w:rPr>
                <w:rFonts w:hint="eastAsia"/>
                <w:sz w:val="24"/>
              </w:rPr>
              <w:t>095</w:t>
            </w:r>
            <w:r>
              <w:rPr>
                <w:sz w:val="24"/>
              </w:rPr>
              <w:t>%</w:t>
            </w:r>
          </w:p>
          <w:p>
            <w:pPr>
              <w:adjustRightInd w:val="0"/>
              <w:snapToGrid w:val="0"/>
              <w:spacing w:line="360" w:lineRule="auto"/>
              <w:ind w:firstLine="480" w:firstLineChars="200"/>
              <w:rPr>
                <w:sz w:val="24"/>
              </w:rPr>
            </w:pPr>
            <w:r>
              <w:rPr>
                <w:sz w:val="24"/>
              </w:rPr>
              <w:t>占地面积：396449 m</w:t>
            </w:r>
            <w:r>
              <w:rPr>
                <w:sz w:val="24"/>
                <w:vertAlign w:val="superscript"/>
              </w:rPr>
              <w:t>2</w:t>
            </w:r>
            <w:r>
              <w:rPr>
                <w:sz w:val="24"/>
              </w:rPr>
              <w:t>，总建筑面积516562.44 m</w:t>
            </w:r>
            <w:r>
              <w:rPr>
                <w:sz w:val="24"/>
                <w:vertAlign w:val="superscript"/>
              </w:rPr>
              <w:t>2</w:t>
            </w:r>
            <w:r>
              <w:rPr>
                <w:sz w:val="24"/>
              </w:rPr>
              <w:t>，绿化面积为66220.4m</w:t>
            </w:r>
            <w:r>
              <w:rPr>
                <w:sz w:val="24"/>
                <w:vertAlign w:val="superscript"/>
              </w:rPr>
              <w:t>2</w:t>
            </w:r>
            <w:r>
              <w:rPr>
                <w:sz w:val="24"/>
              </w:rPr>
              <w:t>，绿化率</w:t>
            </w:r>
            <w:r>
              <w:rPr>
                <w:rFonts w:hint="eastAsia"/>
                <w:sz w:val="24"/>
              </w:rPr>
              <w:t>16.7</w:t>
            </w:r>
            <w:r>
              <w:rPr>
                <w:sz w:val="24"/>
              </w:rPr>
              <w:t>%</w:t>
            </w:r>
            <w:r>
              <w:rPr>
                <w:rFonts w:hint="eastAsia"/>
                <w:sz w:val="24"/>
              </w:rPr>
              <w:t>。</w:t>
            </w:r>
          </w:p>
          <w:p>
            <w:pPr>
              <w:adjustRightInd w:val="0"/>
              <w:snapToGrid w:val="0"/>
              <w:spacing w:line="360" w:lineRule="auto"/>
              <w:ind w:firstLine="480" w:firstLineChars="200"/>
              <w:rPr>
                <w:sz w:val="24"/>
              </w:rPr>
            </w:pPr>
            <w:r>
              <w:rPr>
                <w:sz w:val="24"/>
              </w:rPr>
              <w:t>职工人数：本项目定员</w:t>
            </w:r>
            <w:r>
              <w:rPr>
                <w:rFonts w:hint="eastAsia"/>
                <w:sz w:val="24"/>
              </w:rPr>
              <w:t>14</w:t>
            </w:r>
            <w:r>
              <w:rPr>
                <w:sz w:val="24"/>
              </w:rPr>
              <w:t>00人</w:t>
            </w:r>
            <w:r>
              <w:rPr>
                <w:rFonts w:hint="eastAsia"/>
                <w:sz w:val="24"/>
              </w:rPr>
              <w:t>，其中物流配送人员600人，均值每个班次300人，每天2班。研发办公人员800人，每天1班。</w:t>
            </w:r>
          </w:p>
          <w:p>
            <w:pPr>
              <w:adjustRightInd w:val="0"/>
              <w:snapToGrid w:val="0"/>
              <w:spacing w:line="360" w:lineRule="auto"/>
              <w:ind w:firstLine="480" w:firstLineChars="200"/>
              <w:rPr>
                <w:sz w:val="24"/>
              </w:rPr>
            </w:pPr>
            <w:r>
              <w:rPr>
                <w:sz w:val="24"/>
              </w:rPr>
              <w:t>工作时数：365天，每天24小时</w:t>
            </w:r>
            <w:r>
              <w:rPr>
                <w:rFonts w:hint="eastAsia"/>
                <w:sz w:val="24"/>
              </w:rPr>
              <w:t>。</w:t>
            </w:r>
          </w:p>
          <w:p>
            <w:pPr>
              <w:spacing w:line="360" w:lineRule="auto"/>
              <w:rPr>
                <w:sz w:val="24"/>
              </w:rPr>
            </w:pPr>
            <w:r>
              <w:rPr>
                <w:sz w:val="24"/>
              </w:rPr>
              <w:t xml:space="preserve">   2）、工程内容及规模</w:t>
            </w:r>
          </w:p>
          <w:p>
            <w:pPr>
              <w:spacing w:line="360" w:lineRule="auto"/>
              <w:ind w:firstLine="480" w:firstLineChars="200"/>
              <w:rPr>
                <w:sz w:val="24"/>
              </w:rPr>
            </w:pPr>
            <w:r>
              <w:rPr>
                <w:sz w:val="24"/>
              </w:rPr>
              <w:t>本项目预计年物流仓储量为1578万吨，配送量为95万吨，主要仓储配送</w:t>
            </w:r>
            <w:r>
              <w:rPr>
                <w:rFonts w:hint="eastAsia"/>
                <w:sz w:val="24"/>
              </w:rPr>
              <w:t>商品</w:t>
            </w:r>
            <w:r>
              <w:rPr>
                <w:sz w:val="24"/>
              </w:rPr>
              <w:t>为服装鞋帽、婴儿用品、食品、化妆品、汽车用品、珠宝、书籍、乐器等，项目建成后产品方案见表2-1，主要技术指标见表2-2。</w:t>
            </w:r>
          </w:p>
          <w:p>
            <w:pPr>
              <w:adjustRightInd w:val="0"/>
              <w:snapToGrid w:val="0"/>
              <w:ind w:firstLine="422" w:firstLineChars="200"/>
              <w:jc w:val="center"/>
              <w:rPr>
                <w:b/>
              </w:rPr>
            </w:pPr>
            <w:r>
              <w:rPr>
                <w:b/>
              </w:rPr>
              <w:t>表2-1 建设项目主体工程及产品方案</w:t>
            </w:r>
          </w:p>
          <w:tbl>
            <w:tblPr>
              <w:tblStyle w:val="33"/>
              <w:tblW w:w="8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123"/>
              <w:gridCol w:w="2790"/>
              <w:gridCol w:w="1136"/>
              <w:gridCol w:w="825"/>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Merge w:val="restart"/>
                  <w:vAlign w:val="center"/>
                </w:tcPr>
                <w:p>
                  <w:pPr>
                    <w:spacing w:line="320" w:lineRule="exact"/>
                    <w:jc w:val="center"/>
                    <w:rPr>
                      <w:szCs w:val="21"/>
                    </w:rPr>
                  </w:pPr>
                  <w:r>
                    <w:rPr>
                      <w:szCs w:val="21"/>
                    </w:rPr>
                    <w:t>序号</w:t>
                  </w:r>
                </w:p>
              </w:tc>
              <w:tc>
                <w:tcPr>
                  <w:tcW w:w="2123" w:type="dxa"/>
                  <w:vMerge w:val="restart"/>
                  <w:vAlign w:val="center"/>
                </w:tcPr>
                <w:p>
                  <w:pPr>
                    <w:spacing w:line="320" w:lineRule="exact"/>
                    <w:jc w:val="center"/>
                    <w:rPr>
                      <w:szCs w:val="21"/>
                    </w:rPr>
                  </w:pPr>
                  <w:r>
                    <w:rPr>
                      <w:szCs w:val="21"/>
                    </w:rPr>
                    <w:t>工程名称</w:t>
                  </w:r>
                </w:p>
              </w:tc>
              <w:tc>
                <w:tcPr>
                  <w:tcW w:w="2790" w:type="dxa"/>
                  <w:vMerge w:val="restart"/>
                  <w:vAlign w:val="center"/>
                </w:tcPr>
                <w:p>
                  <w:pPr>
                    <w:spacing w:line="320" w:lineRule="exact"/>
                    <w:jc w:val="center"/>
                    <w:rPr>
                      <w:szCs w:val="21"/>
                    </w:rPr>
                  </w:pPr>
                  <w:r>
                    <w:rPr>
                      <w:szCs w:val="21"/>
                    </w:rPr>
                    <w:t>产品名称(物流物品)</w:t>
                  </w:r>
                </w:p>
              </w:tc>
              <w:tc>
                <w:tcPr>
                  <w:tcW w:w="1961" w:type="dxa"/>
                  <w:gridSpan w:val="2"/>
                  <w:vAlign w:val="center"/>
                </w:tcPr>
                <w:p>
                  <w:pPr>
                    <w:spacing w:line="320" w:lineRule="exact"/>
                    <w:jc w:val="center"/>
                    <w:rPr>
                      <w:szCs w:val="21"/>
                    </w:rPr>
                  </w:pPr>
                  <w:r>
                    <w:rPr>
                      <w:szCs w:val="21"/>
                    </w:rPr>
                    <w:t>设计能力：</w:t>
                  </w:r>
                  <w:r>
                    <w:rPr>
                      <w:szCs w:val="21"/>
                    </w:rPr>
                    <w:cr/>
                  </w:r>
                  <w:r>
                    <w:rPr>
                      <w:szCs w:val="21"/>
                    </w:rPr>
                    <w:t>t</w:t>
                  </w:r>
                </w:p>
              </w:tc>
              <w:tc>
                <w:tcPr>
                  <w:tcW w:w="1034" w:type="dxa"/>
                  <w:vMerge w:val="restart"/>
                  <w:vAlign w:val="center"/>
                </w:tcPr>
                <w:p>
                  <w:pPr>
                    <w:spacing w:line="320" w:lineRule="exact"/>
                    <w:jc w:val="center"/>
                    <w:rPr>
                      <w:szCs w:val="21"/>
                    </w:rPr>
                  </w:pPr>
                  <w:r>
                    <w:rPr>
                      <w:szCs w:val="21"/>
                    </w:rPr>
                    <w:t>年运行时数（h）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Merge w:val="continue"/>
                  <w:vAlign w:val="center"/>
                </w:tcPr>
                <w:p>
                  <w:pPr>
                    <w:spacing w:line="320" w:lineRule="exact"/>
                    <w:jc w:val="center"/>
                    <w:rPr>
                      <w:szCs w:val="21"/>
                    </w:rPr>
                  </w:pPr>
                </w:p>
              </w:tc>
              <w:tc>
                <w:tcPr>
                  <w:tcW w:w="2123" w:type="dxa"/>
                  <w:vMerge w:val="continue"/>
                  <w:vAlign w:val="center"/>
                </w:tcPr>
                <w:p>
                  <w:pPr>
                    <w:spacing w:line="320" w:lineRule="exact"/>
                    <w:jc w:val="center"/>
                    <w:rPr>
                      <w:szCs w:val="21"/>
                    </w:rPr>
                  </w:pPr>
                </w:p>
              </w:tc>
              <w:tc>
                <w:tcPr>
                  <w:tcW w:w="2790" w:type="dxa"/>
                  <w:vMerge w:val="continue"/>
                  <w:vAlign w:val="center"/>
                </w:tcPr>
                <w:p>
                  <w:pPr>
                    <w:spacing w:line="320" w:lineRule="exact"/>
                    <w:jc w:val="center"/>
                    <w:rPr>
                      <w:szCs w:val="21"/>
                    </w:rPr>
                  </w:pPr>
                </w:p>
              </w:tc>
              <w:tc>
                <w:tcPr>
                  <w:tcW w:w="1136" w:type="dxa"/>
                  <w:vAlign w:val="center"/>
                </w:tcPr>
                <w:p>
                  <w:pPr>
                    <w:spacing w:line="320" w:lineRule="exact"/>
                    <w:jc w:val="center"/>
                    <w:rPr>
                      <w:szCs w:val="21"/>
                    </w:rPr>
                  </w:pPr>
                  <w:r>
                    <w:rPr>
                      <w:szCs w:val="21"/>
                    </w:rPr>
                    <w:t>物流仓储量</w:t>
                  </w:r>
                </w:p>
              </w:tc>
              <w:tc>
                <w:tcPr>
                  <w:tcW w:w="825" w:type="dxa"/>
                  <w:vAlign w:val="center"/>
                </w:tcPr>
                <w:p>
                  <w:pPr>
                    <w:spacing w:line="320" w:lineRule="exact"/>
                    <w:jc w:val="center"/>
                    <w:rPr>
                      <w:szCs w:val="21"/>
                    </w:rPr>
                  </w:pPr>
                  <w:r>
                    <w:rPr>
                      <w:szCs w:val="21"/>
                    </w:rPr>
                    <w:t>配送量</w:t>
                  </w:r>
                </w:p>
              </w:tc>
              <w:tc>
                <w:tcPr>
                  <w:tcW w:w="1034" w:type="dxa"/>
                  <w:vMerge w:val="continue"/>
                  <w:vAlign w:val="center"/>
                </w:tcPr>
                <w:p>
                  <w:pPr>
                    <w:spacing w:line="32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1</w:t>
                  </w:r>
                </w:p>
              </w:tc>
              <w:tc>
                <w:tcPr>
                  <w:tcW w:w="2123" w:type="dxa"/>
                  <w:vAlign w:val="center"/>
                </w:tcPr>
                <w:p>
                  <w:pPr>
                    <w:spacing w:line="320" w:lineRule="exact"/>
                    <w:jc w:val="center"/>
                    <w:rPr>
                      <w:szCs w:val="21"/>
                    </w:rPr>
                  </w:pPr>
                  <w:r>
                    <w:rPr>
                      <w:szCs w:val="21"/>
                    </w:rPr>
                    <w:t>ASRS托盘堆垛机区</w:t>
                  </w:r>
                </w:p>
              </w:tc>
              <w:tc>
                <w:tcPr>
                  <w:tcW w:w="2790" w:type="dxa"/>
                  <w:vAlign w:val="center"/>
                </w:tcPr>
                <w:p>
                  <w:pPr>
                    <w:spacing w:line="320" w:lineRule="exact"/>
                    <w:jc w:val="center"/>
                    <w:rPr>
                      <w:szCs w:val="21"/>
                    </w:rPr>
                  </w:pPr>
                  <w:r>
                    <w:rPr>
                      <w:szCs w:val="21"/>
                    </w:rPr>
                    <w:t>中件产品（小家电、百货等）</w:t>
                  </w:r>
                </w:p>
              </w:tc>
              <w:tc>
                <w:tcPr>
                  <w:tcW w:w="1136" w:type="dxa"/>
                  <w:vAlign w:val="center"/>
                </w:tcPr>
                <w:p>
                  <w:pPr>
                    <w:spacing w:line="320" w:lineRule="exact"/>
                    <w:jc w:val="center"/>
                    <w:rPr>
                      <w:szCs w:val="21"/>
                    </w:rPr>
                  </w:pPr>
                  <w:r>
                    <w:rPr>
                      <w:szCs w:val="21"/>
                    </w:rPr>
                    <w:t>38</w:t>
                  </w:r>
                </w:p>
              </w:tc>
              <w:tc>
                <w:tcPr>
                  <w:tcW w:w="825" w:type="dxa"/>
                  <w:vAlign w:val="center"/>
                </w:tcPr>
                <w:p>
                  <w:pPr>
                    <w:spacing w:line="320" w:lineRule="exact"/>
                    <w:jc w:val="center"/>
                    <w:rPr>
                      <w:szCs w:val="21"/>
                    </w:rPr>
                  </w:pPr>
                  <w:r>
                    <w:rPr>
                      <w:szCs w:val="21"/>
                    </w:rPr>
                    <w:t>--</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2</w:t>
                  </w:r>
                </w:p>
              </w:tc>
              <w:tc>
                <w:tcPr>
                  <w:tcW w:w="2123" w:type="dxa"/>
                  <w:vAlign w:val="center"/>
                </w:tcPr>
                <w:p>
                  <w:pPr>
                    <w:spacing w:line="320" w:lineRule="exact"/>
                    <w:jc w:val="center"/>
                    <w:rPr>
                      <w:szCs w:val="21"/>
                    </w:rPr>
                  </w:pPr>
                  <w:r>
                    <w:rPr>
                      <w:szCs w:val="21"/>
                    </w:rPr>
                    <w:t>Miniload箱式堆垛机区</w:t>
                  </w:r>
                </w:p>
              </w:tc>
              <w:tc>
                <w:tcPr>
                  <w:tcW w:w="2790" w:type="dxa"/>
                  <w:vAlign w:val="center"/>
                </w:tcPr>
                <w:p>
                  <w:pPr>
                    <w:spacing w:line="320" w:lineRule="exact"/>
                    <w:jc w:val="center"/>
                    <w:rPr>
                      <w:szCs w:val="21"/>
                    </w:rPr>
                  </w:pPr>
                  <w:r>
                    <w:rPr>
                      <w:szCs w:val="21"/>
                    </w:rPr>
                    <w:t>小件产品及部分中件产品（3c、化妆品等）</w:t>
                  </w:r>
                </w:p>
              </w:tc>
              <w:tc>
                <w:tcPr>
                  <w:tcW w:w="1136" w:type="dxa"/>
                  <w:vAlign w:val="center"/>
                </w:tcPr>
                <w:p>
                  <w:pPr>
                    <w:spacing w:line="320" w:lineRule="exact"/>
                    <w:jc w:val="center"/>
                    <w:rPr>
                      <w:szCs w:val="21"/>
                    </w:rPr>
                  </w:pPr>
                  <w:r>
                    <w:rPr>
                      <w:szCs w:val="21"/>
                    </w:rPr>
                    <w:t>650</w:t>
                  </w:r>
                </w:p>
              </w:tc>
              <w:tc>
                <w:tcPr>
                  <w:tcW w:w="825" w:type="dxa"/>
                  <w:vAlign w:val="center"/>
                </w:tcPr>
                <w:p>
                  <w:pPr>
                    <w:spacing w:line="320" w:lineRule="exact"/>
                    <w:jc w:val="center"/>
                    <w:rPr>
                      <w:szCs w:val="21"/>
                    </w:rPr>
                  </w:pPr>
                  <w:r>
                    <w:rPr>
                      <w:szCs w:val="21"/>
                    </w:rPr>
                    <w:t>--</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3</w:t>
                  </w:r>
                </w:p>
              </w:tc>
              <w:tc>
                <w:tcPr>
                  <w:tcW w:w="2123" w:type="dxa"/>
                  <w:vAlign w:val="center"/>
                </w:tcPr>
                <w:p>
                  <w:pPr>
                    <w:spacing w:line="320" w:lineRule="exact"/>
                    <w:jc w:val="center"/>
                    <w:rPr>
                      <w:szCs w:val="21"/>
                    </w:rPr>
                  </w:pPr>
                  <w:r>
                    <w:rPr>
                      <w:szCs w:val="21"/>
                    </w:rPr>
                    <w:t>SCS自动旋转库区</w:t>
                  </w:r>
                </w:p>
              </w:tc>
              <w:tc>
                <w:tcPr>
                  <w:tcW w:w="2790" w:type="dxa"/>
                  <w:vAlign w:val="center"/>
                </w:tcPr>
                <w:p>
                  <w:pPr>
                    <w:spacing w:line="320" w:lineRule="exact"/>
                    <w:jc w:val="center"/>
                    <w:rPr>
                      <w:szCs w:val="21"/>
                    </w:rPr>
                  </w:pPr>
                  <w:r>
                    <w:rPr>
                      <w:szCs w:val="21"/>
                    </w:rPr>
                    <w:t>小件产品（3c、化妆品等）</w:t>
                  </w:r>
                </w:p>
              </w:tc>
              <w:tc>
                <w:tcPr>
                  <w:tcW w:w="1136" w:type="dxa"/>
                  <w:vAlign w:val="center"/>
                </w:tcPr>
                <w:p>
                  <w:pPr>
                    <w:spacing w:line="320" w:lineRule="exact"/>
                    <w:jc w:val="center"/>
                    <w:rPr>
                      <w:szCs w:val="21"/>
                    </w:rPr>
                  </w:pPr>
                  <w:r>
                    <w:rPr>
                      <w:szCs w:val="21"/>
                    </w:rPr>
                    <w:t>164</w:t>
                  </w:r>
                </w:p>
              </w:tc>
              <w:tc>
                <w:tcPr>
                  <w:tcW w:w="825" w:type="dxa"/>
                  <w:vAlign w:val="center"/>
                </w:tcPr>
                <w:p>
                  <w:pPr>
                    <w:spacing w:line="320" w:lineRule="exact"/>
                    <w:jc w:val="center"/>
                    <w:rPr>
                      <w:szCs w:val="21"/>
                    </w:rPr>
                  </w:pPr>
                  <w:r>
                    <w:rPr>
                      <w:szCs w:val="21"/>
                    </w:rPr>
                    <w:t>29</w:t>
                  </w:r>
                </w:p>
              </w:tc>
              <w:tc>
                <w:tcPr>
                  <w:tcW w:w="1034" w:type="dxa"/>
                  <w:vAlign w:val="center"/>
                </w:tcPr>
                <w:p>
                  <w:pPr>
                    <w:spacing w:line="320" w:lineRule="exact"/>
                    <w:jc w:val="center"/>
                    <w:rPr>
                      <w:szCs w:val="21"/>
                    </w:rPr>
                  </w:pPr>
                  <w:r>
                    <w:rPr>
                      <w:szCs w:val="21"/>
                    </w:rPr>
                    <w:t>584</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4</w:t>
                  </w:r>
                </w:p>
              </w:tc>
              <w:tc>
                <w:tcPr>
                  <w:tcW w:w="2123" w:type="dxa"/>
                  <w:vAlign w:val="center"/>
                </w:tcPr>
                <w:p>
                  <w:pPr>
                    <w:spacing w:line="320" w:lineRule="exact"/>
                    <w:jc w:val="center"/>
                    <w:rPr>
                      <w:szCs w:val="21"/>
                    </w:rPr>
                  </w:pPr>
                  <w:r>
                    <w:rPr>
                      <w:szCs w:val="21"/>
                    </w:rPr>
                    <w:t>A字架区</w:t>
                  </w:r>
                </w:p>
              </w:tc>
              <w:tc>
                <w:tcPr>
                  <w:tcW w:w="2790" w:type="dxa"/>
                  <w:vAlign w:val="center"/>
                </w:tcPr>
                <w:p>
                  <w:pPr>
                    <w:spacing w:line="320" w:lineRule="exact"/>
                    <w:jc w:val="center"/>
                    <w:rPr>
                      <w:szCs w:val="21"/>
                    </w:rPr>
                  </w:pPr>
                  <w:r>
                    <w:rPr>
                      <w:szCs w:val="21"/>
                    </w:rPr>
                    <w:t>小件产品（3c、化妆品等）</w:t>
                  </w:r>
                </w:p>
              </w:tc>
              <w:tc>
                <w:tcPr>
                  <w:tcW w:w="1136" w:type="dxa"/>
                  <w:vAlign w:val="center"/>
                </w:tcPr>
                <w:p>
                  <w:pPr>
                    <w:spacing w:line="320" w:lineRule="exact"/>
                    <w:jc w:val="center"/>
                    <w:rPr>
                      <w:szCs w:val="21"/>
                    </w:rPr>
                  </w:pPr>
                  <w:r>
                    <w:rPr>
                      <w:szCs w:val="21"/>
                    </w:rPr>
                    <w:t>13</w:t>
                  </w:r>
                </w:p>
              </w:tc>
              <w:tc>
                <w:tcPr>
                  <w:tcW w:w="825" w:type="dxa"/>
                  <w:vAlign w:val="center"/>
                </w:tcPr>
                <w:p>
                  <w:pPr>
                    <w:spacing w:line="320" w:lineRule="exact"/>
                    <w:jc w:val="center"/>
                    <w:rPr>
                      <w:szCs w:val="21"/>
                    </w:rPr>
                  </w:pPr>
                  <w:r>
                    <w:rPr>
                      <w:szCs w:val="21"/>
                    </w:rPr>
                    <w:t>5.7</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5</w:t>
                  </w:r>
                </w:p>
              </w:tc>
              <w:tc>
                <w:tcPr>
                  <w:tcW w:w="2123" w:type="dxa"/>
                  <w:vAlign w:val="center"/>
                </w:tcPr>
                <w:p>
                  <w:pPr>
                    <w:spacing w:line="320" w:lineRule="exact"/>
                    <w:jc w:val="center"/>
                    <w:rPr>
                      <w:szCs w:val="21"/>
                    </w:rPr>
                  </w:pPr>
                  <w:r>
                    <w:rPr>
                      <w:szCs w:val="21"/>
                    </w:rPr>
                    <w:t>KDR流利货架区</w:t>
                  </w:r>
                </w:p>
              </w:tc>
              <w:tc>
                <w:tcPr>
                  <w:tcW w:w="2790" w:type="dxa"/>
                  <w:vAlign w:val="center"/>
                </w:tcPr>
                <w:p>
                  <w:pPr>
                    <w:spacing w:line="320" w:lineRule="exact"/>
                    <w:jc w:val="center"/>
                    <w:rPr>
                      <w:szCs w:val="21"/>
                    </w:rPr>
                  </w:pPr>
                  <w:r>
                    <w:rPr>
                      <w:szCs w:val="21"/>
                    </w:rPr>
                    <w:t>小件产品（3c、化妆品等）</w:t>
                  </w:r>
                </w:p>
              </w:tc>
              <w:tc>
                <w:tcPr>
                  <w:tcW w:w="1136" w:type="dxa"/>
                  <w:vAlign w:val="center"/>
                </w:tcPr>
                <w:p>
                  <w:pPr>
                    <w:spacing w:line="320" w:lineRule="exact"/>
                    <w:jc w:val="center"/>
                    <w:rPr>
                      <w:szCs w:val="21"/>
                    </w:rPr>
                  </w:pPr>
                  <w:r>
                    <w:rPr>
                      <w:szCs w:val="21"/>
                    </w:rPr>
                    <w:t>44</w:t>
                  </w:r>
                </w:p>
              </w:tc>
              <w:tc>
                <w:tcPr>
                  <w:tcW w:w="825" w:type="dxa"/>
                  <w:vAlign w:val="center"/>
                </w:tcPr>
                <w:p>
                  <w:pPr>
                    <w:spacing w:line="320" w:lineRule="exact"/>
                    <w:jc w:val="center"/>
                    <w:rPr>
                      <w:szCs w:val="21"/>
                    </w:rPr>
                  </w:pPr>
                  <w:r>
                    <w:rPr>
                      <w:szCs w:val="21"/>
                    </w:rPr>
                    <w:t>8.4</w:t>
                  </w:r>
                </w:p>
              </w:tc>
              <w:tc>
                <w:tcPr>
                  <w:tcW w:w="1034" w:type="dxa"/>
                  <w:vAlign w:val="center"/>
                </w:tcPr>
                <w:p>
                  <w:pPr>
                    <w:spacing w:line="320" w:lineRule="exact"/>
                    <w:jc w:val="center"/>
                    <w:rPr>
                      <w:szCs w:val="21"/>
                    </w:rPr>
                  </w:pPr>
                  <w:r>
                    <w:rPr>
                      <w:szCs w:val="21"/>
                    </w:rPr>
                    <w:cr/>
                  </w:r>
                  <w:r>
                    <w:rPr>
                      <w:szCs w:val="21"/>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6</w:t>
                  </w:r>
                </w:p>
              </w:tc>
              <w:tc>
                <w:tcPr>
                  <w:tcW w:w="2123" w:type="dxa"/>
                  <w:vAlign w:val="center"/>
                </w:tcPr>
                <w:p>
                  <w:pPr>
                    <w:spacing w:line="320" w:lineRule="exact"/>
                    <w:jc w:val="center"/>
                    <w:rPr>
                      <w:szCs w:val="21"/>
                    </w:rPr>
                  </w:pPr>
                  <w:r>
                    <w:rPr>
                      <w:szCs w:val="21"/>
                    </w:rPr>
                    <w:t>阁楼货架区</w:t>
                  </w:r>
                </w:p>
              </w:tc>
              <w:tc>
                <w:tcPr>
                  <w:tcW w:w="2790" w:type="dxa"/>
                  <w:vAlign w:val="center"/>
                </w:tcPr>
                <w:p>
                  <w:pPr>
                    <w:spacing w:line="320" w:lineRule="exact"/>
                    <w:jc w:val="center"/>
                    <w:rPr>
                      <w:szCs w:val="21"/>
                    </w:rPr>
                  </w:pPr>
                  <w:r>
                    <w:rPr>
                      <w:szCs w:val="21"/>
                    </w:rPr>
                    <w:t>小件产品（3c、化妆品等）</w:t>
                  </w:r>
                </w:p>
              </w:tc>
              <w:tc>
                <w:tcPr>
                  <w:tcW w:w="1136" w:type="dxa"/>
                  <w:vAlign w:val="center"/>
                </w:tcPr>
                <w:p>
                  <w:pPr>
                    <w:spacing w:line="320" w:lineRule="exact"/>
                    <w:jc w:val="center"/>
                    <w:rPr>
                      <w:szCs w:val="21"/>
                    </w:rPr>
                  </w:pPr>
                  <w:r>
                    <w:rPr>
                      <w:szCs w:val="21"/>
                    </w:rPr>
                    <w:t>57</w:t>
                  </w:r>
                  <w:r>
                    <w:rPr>
                      <w:rFonts w:hint="eastAsia"/>
                      <w:szCs w:val="21"/>
                    </w:rPr>
                    <w:t>3</w:t>
                  </w:r>
                </w:p>
              </w:tc>
              <w:tc>
                <w:tcPr>
                  <w:tcW w:w="825" w:type="dxa"/>
                  <w:vAlign w:val="center"/>
                </w:tcPr>
                <w:p>
                  <w:pPr>
                    <w:spacing w:line="320" w:lineRule="exact"/>
                    <w:jc w:val="center"/>
                    <w:rPr>
                      <w:szCs w:val="21"/>
                    </w:rPr>
                  </w:pPr>
                  <w:r>
                    <w:rPr>
                      <w:szCs w:val="21"/>
                    </w:rPr>
                    <w:t>25</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7</w:t>
                  </w:r>
                </w:p>
              </w:tc>
              <w:tc>
                <w:tcPr>
                  <w:tcW w:w="2123" w:type="dxa"/>
                  <w:vAlign w:val="center"/>
                </w:tcPr>
                <w:p>
                  <w:pPr>
                    <w:spacing w:line="320" w:lineRule="exact"/>
                    <w:jc w:val="center"/>
                    <w:rPr>
                      <w:szCs w:val="21"/>
                    </w:rPr>
                  </w:pPr>
                  <w:r>
                    <w:rPr>
                      <w:szCs w:val="21"/>
                    </w:rPr>
                    <w:t>箱式流利架+托盘区</w:t>
                  </w:r>
                </w:p>
              </w:tc>
              <w:tc>
                <w:tcPr>
                  <w:tcW w:w="2790" w:type="dxa"/>
                  <w:vAlign w:val="center"/>
                </w:tcPr>
                <w:p>
                  <w:pPr>
                    <w:spacing w:line="320" w:lineRule="exact"/>
                    <w:jc w:val="center"/>
                    <w:rPr>
                      <w:szCs w:val="21"/>
                    </w:rPr>
                  </w:pPr>
                  <w:r>
                    <w:rPr>
                      <w:szCs w:val="21"/>
                    </w:rPr>
                    <w:t>中件产品（小家电、百货等）</w:t>
                  </w:r>
                </w:p>
              </w:tc>
              <w:tc>
                <w:tcPr>
                  <w:tcW w:w="1136" w:type="dxa"/>
                  <w:vAlign w:val="center"/>
                </w:tcPr>
                <w:p>
                  <w:pPr>
                    <w:spacing w:line="320" w:lineRule="exact"/>
                    <w:jc w:val="center"/>
                    <w:rPr>
                      <w:szCs w:val="21"/>
                    </w:rPr>
                  </w:pPr>
                  <w:r>
                    <w:rPr>
                      <w:szCs w:val="21"/>
                    </w:rPr>
                    <w:t>24</w:t>
                  </w:r>
                </w:p>
              </w:tc>
              <w:tc>
                <w:tcPr>
                  <w:tcW w:w="825" w:type="dxa"/>
                  <w:vAlign w:val="center"/>
                </w:tcPr>
                <w:p>
                  <w:pPr>
                    <w:spacing w:line="320" w:lineRule="exact"/>
                    <w:jc w:val="center"/>
                    <w:rPr>
                      <w:szCs w:val="21"/>
                    </w:rPr>
                  </w:pPr>
                  <w:r>
                    <w:rPr>
                      <w:szCs w:val="21"/>
                    </w:rPr>
                    <w:t>1</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8</w:t>
                  </w:r>
                </w:p>
              </w:tc>
              <w:tc>
                <w:tcPr>
                  <w:tcW w:w="2123" w:type="dxa"/>
                  <w:vAlign w:val="center"/>
                </w:tcPr>
                <w:p>
                  <w:pPr>
                    <w:spacing w:line="320" w:lineRule="exact"/>
                    <w:jc w:val="center"/>
                    <w:rPr>
                      <w:szCs w:val="21"/>
                    </w:rPr>
                  </w:pPr>
                  <w:r>
                    <w:rPr>
                      <w:szCs w:val="21"/>
                    </w:rPr>
                    <w:t>中件PTB托盘地堆区</w:t>
                  </w:r>
                </w:p>
              </w:tc>
              <w:tc>
                <w:tcPr>
                  <w:tcW w:w="2790" w:type="dxa"/>
                  <w:vAlign w:val="center"/>
                </w:tcPr>
                <w:p>
                  <w:pPr>
                    <w:spacing w:line="320" w:lineRule="exact"/>
                    <w:jc w:val="center"/>
                    <w:rPr>
                      <w:szCs w:val="21"/>
                    </w:rPr>
                  </w:pPr>
                  <w:r>
                    <w:rPr>
                      <w:szCs w:val="21"/>
                    </w:rPr>
                    <w:t>中件产品（小家电、百货等）</w:t>
                  </w:r>
                </w:p>
              </w:tc>
              <w:tc>
                <w:tcPr>
                  <w:tcW w:w="1136" w:type="dxa"/>
                  <w:vAlign w:val="center"/>
                </w:tcPr>
                <w:p>
                  <w:pPr>
                    <w:spacing w:line="320" w:lineRule="exact"/>
                    <w:jc w:val="center"/>
                    <w:rPr>
                      <w:szCs w:val="21"/>
                    </w:rPr>
                  </w:pPr>
                  <w:r>
                    <w:rPr>
                      <w:szCs w:val="21"/>
                    </w:rPr>
                    <w:t>15</w:t>
                  </w:r>
                </w:p>
              </w:tc>
              <w:tc>
                <w:tcPr>
                  <w:tcW w:w="825" w:type="dxa"/>
                  <w:vAlign w:val="center"/>
                </w:tcPr>
                <w:p>
                  <w:pPr>
                    <w:spacing w:line="320" w:lineRule="exact"/>
                    <w:jc w:val="center"/>
                    <w:rPr>
                      <w:szCs w:val="21"/>
                    </w:rPr>
                  </w:pPr>
                  <w:r>
                    <w:rPr>
                      <w:szCs w:val="21"/>
                    </w:rPr>
                    <w:t>2</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9</w:t>
                  </w:r>
                </w:p>
              </w:tc>
              <w:tc>
                <w:tcPr>
                  <w:tcW w:w="2123" w:type="dxa"/>
                  <w:vAlign w:val="center"/>
                </w:tcPr>
                <w:p>
                  <w:pPr>
                    <w:spacing w:line="320" w:lineRule="exact"/>
                    <w:jc w:val="center"/>
                    <w:rPr>
                      <w:szCs w:val="21"/>
                    </w:rPr>
                  </w:pPr>
                  <w:r>
                    <w:rPr>
                      <w:szCs w:val="21"/>
                    </w:rPr>
                    <w:t>异形品区</w:t>
                  </w:r>
                </w:p>
              </w:tc>
              <w:tc>
                <w:tcPr>
                  <w:tcW w:w="2790" w:type="dxa"/>
                  <w:vAlign w:val="center"/>
                </w:tcPr>
                <w:p>
                  <w:pPr>
                    <w:spacing w:line="320" w:lineRule="exact"/>
                    <w:jc w:val="center"/>
                    <w:rPr>
                      <w:szCs w:val="21"/>
                    </w:rPr>
                  </w:pPr>
                  <w:r>
                    <w:rPr>
                      <w:szCs w:val="21"/>
                    </w:rPr>
                    <w:t>异形品（拖把、书桌等）</w:t>
                  </w:r>
                </w:p>
              </w:tc>
              <w:tc>
                <w:tcPr>
                  <w:tcW w:w="1136" w:type="dxa"/>
                  <w:vAlign w:val="center"/>
                </w:tcPr>
                <w:p>
                  <w:pPr>
                    <w:spacing w:line="320" w:lineRule="exact"/>
                    <w:jc w:val="center"/>
                    <w:rPr>
                      <w:szCs w:val="21"/>
                    </w:rPr>
                  </w:pPr>
                  <w:r>
                    <w:rPr>
                      <w:szCs w:val="21"/>
                    </w:rPr>
                    <w:t>27</w:t>
                  </w:r>
                </w:p>
              </w:tc>
              <w:tc>
                <w:tcPr>
                  <w:tcW w:w="825" w:type="dxa"/>
                  <w:vAlign w:val="center"/>
                </w:tcPr>
                <w:p>
                  <w:pPr>
                    <w:spacing w:line="320" w:lineRule="exact"/>
                    <w:jc w:val="center"/>
                    <w:rPr>
                      <w:szCs w:val="21"/>
                    </w:rPr>
                  </w:pPr>
                  <w:r>
                    <w:rPr>
                      <w:szCs w:val="21"/>
                    </w:rPr>
                    <w:t>1.4</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r>
                    <w:rPr>
                      <w:szCs w:val="21"/>
                    </w:rPr>
                    <w:t>10</w:t>
                  </w:r>
                </w:p>
              </w:tc>
              <w:tc>
                <w:tcPr>
                  <w:tcW w:w="2123" w:type="dxa"/>
                  <w:vAlign w:val="center"/>
                </w:tcPr>
                <w:p>
                  <w:pPr>
                    <w:spacing w:line="320" w:lineRule="exact"/>
                    <w:jc w:val="center"/>
                    <w:rPr>
                      <w:szCs w:val="21"/>
                    </w:rPr>
                  </w:pPr>
                  <w:r>
                    <w:rPr>
                      <w:rFonts w:hint="eastAsia"/>
                      <w:szCs w:val="21"/>
                    </w:rPr>
                    <w:t>分拣</w:t>
                  </w:r>
                  <w:r>
                    <w:rPr>
                      <w:szCs w:val="21"/>
                    </w:rPr>
                    <w:t>中心</w:t>
                  </w:r>
                </w:p>
              </w:tc>
              <w:tc>
                <w:tcPr>
                  <w:tcW w:w="2790" w:type="dxa"/>
                  <w:vAlign w:val="center"/>
                </w:tcPr>
                <w:p>
                  <w:pPr>
                    <w:spacing w:line="320" w:lineRule="exact"/>
                    <w:jc w:val="center"/>
                    <w:rPr>
                      <w:szCs w:val="21"/>
                    </w:rPr>
                  </w:pPr>
                  <w:r>
                    <w:rPr>
                      <w:szCs w:val="21"/>
                    </w:rPr>
                    <w:t>退货、中转、越库、快递等业务</w:t>
                  </w:r>
                </w:p>
              </w:tc>
              <w:tc>
                <w:tcPr>
                  <w:tcW w:w="1136" w:type="dxa"/>
                  <w:vAlign w:val="center"/>
                </w:tcPr>
                <w:p>
                  <w:pPr>
                    <w:spacing w:line="320" w:lineRule="exact"/>
                    <w:jc w:val="center"/>
                    <w:rPr>
                      <w:szCs w:val="21"/>
                    </w:rPr>
                  </w:pPr>
                  <w:r>
                    <w:rPr>
                      <w:szCs w:val="21"/>
                    </w:rPr>
                    <w:t>--</w:t>
                  </w:r>
                </w:p>
              </w:tc>
              <w:tc>
                <w:tcPr>
                  <w:tcW w:w="825" w:type="dxa"/>
                  <w:vAlign w:val="center"/>
                </w:tcPr>
                <w:p>
                  <w:pPr>
                    <w:spacing w:line="320" w:lineRule="exact"/>
                    <w:jc w:val="center"/>
                    <w:rPr>
                      <w:szCs w:val="21"/>
                    </w:rPr>
                  </w:pPr>
                  <w:r>
                    <w:rPr>
                      <w:szCs w:val="21"/>
                    </w:rPr>
                    <w:t>22</w:t>
                  </w:r>
                </w:p>
              </w:tc>
              <w:tc>
                <w:tcPr>
                  <w:tcW w:w="1034" w:type="dxa"/>
                  <w:vAlign w:val="center"/>
                </w:tcPr>
                <w:p>
                  <w:pPr>
                    <w:spacing w:line="320" w:lineRule="exact"/>
                    <w:jc w:val="center"/>
                    <w:rPr>
                      <w:szCs w:val="21"/>
                    </w:rPr>
                  </w:pPr>
                  <w:r>
                    <w:rPr>
                      <w:szCs w:val="21"/>
                    </w:rPr>
                    <w:t>5840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 w:type="dxa"/>
                  <w:vAlign w:val="center"/>
                </w:tcPr>
                <w:p>
                  <w:pPr>
                    <w:spacing w:line="320" w:lineRule="exact"/>
                    <w:jc w:val="center"/>
                    <w:rPr>
                      <w:szCs w:val="21"/>
                    </w:rPr>
                  </w:pPr>
                </w:p>
              </w:tc>
              <w:tc>
                <w:tcPr>
                  <w:tcW w:w="2123" w:type="dxa"/>
                  <w:vAlign w:val="center"/>
                </w:tcPr>
                <w:p>
                  <w:pPr>
                    <w:spacing w:line="320" w:lineRule="exact"/>
                    <w:jc w:val="center"/>
                    <w:rPr>
                      <w:szCs w:val="21"/>
                    </w:rPr>
                  </w:pPr>
                  <w:r>
                    <w:rPr>
                      <w:szCs w:val="21"/>
                    </w:rPr>
                    <w:t>总</w:t>
                  </w:r>
                  <w:r>
                    <w:rPr>
                      <w:rFonts w:hint="eastAsia"/>
                      <w:szCs w:val="21"/>
                    </w:rPr>
                    <w:t>计</w:t>
                  </w:r>
                </w:p>
              </w:tc>
              <w:tc>
                <w:tcPr>
                  <w:tcW w:w="2790" w:type="dxa"/>
                  <w:vAlign w:val="center"/>
                </w:tcPr>
                <w:p>
                  <w:pPr>
                    <w:spacing w:line="320" w:lineRule="exact"/>
                    <w:jc w:val="center"/>
                    <w:rPr>
                      <w:szCs w:val="21"/>
                    </w:rPr>
                  </w:pPr>
                  <w:r>
                    <w:rPr>
                      <w:rFonts w:hint="eastAsia"/>
                      <w:szCs w:val="21"/>
                    </w:rPr>
                    <w:t>-</w:t>
                  </w:r>
                </w:p>
              </w:tc>
              <w:tc>
                <w:tcPr>
                  <w:tcW w:w="1136" w:type="dxa"/>
                  <w:vAlign w:val="center"/>
                </w:tcPr>
                <w:p>
                  <w:pPr>
                    <w:spacing w:line="320" w:lineRule="exact"/>
                    <w:jc w:val="center"/>
                    <w:rPr>
                      <w:szCs w:val="21"/>
                    </w:rPr>
                  </w:pPr>
                  <w:r>
                    <w:rPr>
                      <w:szCs w:val="21"/>
                    </w:rPr>
                    <w:cr/>
                  </w:r>
                  <w:r>
                    <w:rPr>
                      <w:szCs w:val="21"/>
                    </w:rPr>
                    <w:t>548</w:t>
                  </w:r>
                </w:p>
              </w:tc>
              <w:tc>
                <w:tcPr>
                  <w:tcW w:w="825" w:type="dxa"/>
                  <w:vAlign w:val="center"/>
                </w:tcPr>
                <w:p>
                  <w:pPr>
                    <w:spacing w:line="320" w:lineRule="exact"/>
                    <w:jc w:val="center"/>
                    <w:rPr>
                      <w:szCs w:val="21"/>
                    </w:rPr>
                  </w:pPr>
                  <w:r>
                    <w:rPr>
                      <w:szCs w:val="21"/>
                    </w:rPr>
                    <w:t>95</w:t>
                  </w:r>
                </w:p>
              </w:tc>
              <w:tc>
                <w:tcPr>
                  <w:tcW w:w="1034" w:type="dxa"/>
                  <w:vAlign w:val="center"/>
                </w:tcPr>
                <w:p>
                  <w:pPr>
                    <w:spacing w:line="320" w:lineRule="exact"/>
                    <w:jc w:val="center"/>
                    <w:rPr>
                      <w:szCs w:val="21"/>
                    </w:rPr>
                  </w:pPr>
                </w:p>
              </w:tc>
            </w:tr>
          </w:tbl>
          <w:p>
            <w:pPr>
              <w:adjustRightInd w:val="0"/>
              <w:snapToGrid w:val="0"/>
              <w:jc w:val="center"/>
              <w:rPr>
                <w:rFonts w:hint="eastAsia"/>
                <w:b/>
                <w:sz w:val="24"/>
              </w:rPr>
            </w:pPr>
          </w:p>
          <w:p>
            <w:pPr>
              <w:adjustRightInd w:val="0"/>
              <w:snapToGrid w:val="0"/>
              <w:ind w:firstLine="422" w:firstLineChars="200"/>
              <w:jc w:val="center"/>
              <w:rPr>
                <w:rFonts w:hint="eastAsia"/>
                <w:b/>
              </w:rPr>
            </w:pPr>
            <w:r>
              <w:rPr>
                <w:b/>
              </w:rPr>
              <w:t>表2-2  项目主要经济技术指标一览表</w:t>
            </w:r>
          </w:p>
          <w:tbl>
            <w:tblPr>
              <w:tblStyle w:val="33"/>
              <w:tblW w:w="8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675"/>
              <w:gridCol w:w="56"/>
              <w:gridCol w:w="1483"/>
              <w:gridCol w:w="837"/>
              <w:gridCol w:w="2144"/>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序号</w:t>
                  </w:r>
                </w:p>
              </w:tc>
              <w:tc>
                <w:tcPr>
                  <w:tcW w:w="2214" w:type="dxa"/>
                  <w:gridSpan w:val="3"/>
                  <w:vAlign w:val="center"/>
                </w:tcPr>
                <w:p>
                  <w:pPr>
                    <w:spacing w:line="320" w:lineRule="exact"/>
                    <w:jc w:val="center"/>
                    <w:rPr>
                      <w:szCs w:val="21"/>
                    </w:rPr>
                  </w:pPr>
                  <w:r>
                    <w:rPr>
                      <w:szCs w:val="21"/>
                    </w:rPr>
                    <w:t>项目</w:t>
                  </w:r>
                </w:p>
              </w:tc>
              <w:tc>
                <w:tcPr>
                  <w:tcW w:w="837" w:type="dxa"/>
                  <w:vAlign w:val="center"/>
                </w:tcPr>
                <w:p>
                  <w:pPr>
                    <w:spacing w:line="320" w:lineRule="exact"/>
                    <w:jc w:val="center"/>
                    <w:rPr>
                      <w:szCs w:val="21"/>
                    </w:rPr>
                  </w:pPr>
                  <w:r>
                    <w:rPr>
                      <w:szCs w:val="21"/>
                    </w:rPr>
                    <w:t>单位</w:t>
                  </w:r>
                </w:p>
              </w:tc>
              <w:tc>
                <w:tcPr>
                  <w:tcW w:w="2144" w:type="dxa"/>
                  <w:vAlign w:val="center"/>
                </w:tcPr>
                <w:p>
                  <w:pPr>
                    <w:spacing w:line="320" w:lineRule="exact"/>
                    <w:jc w:val="center"/>
                    <w:rPr>
                      <w:szCs w:val="21"/>
                    </w:rPr>
                  </w:pPr>
                  <w:r>
                    <w:rPr>
                      <w:szCs w:val="21"/>
                    </w:rPr>
                    <w:t>数量</w:t>
                  </w:r>
                </w:p>
              </w:tc>
              <w:tc>
                <w:tcPr>
                  <w:tcW w:w="2333" w:type="dxa"/>
                  <w:vAlign w:val="center"/>
                </w:tcPr>
                <w:p>
                  <w:pPr>
                    <w:spacing w:line="320" w:lineRule="exact"/>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06" w:type="dxa"/>
                  <w:vMerge w:val="restart"/>
                  <w:vAlign w:val="center"/>
                </w:tcPr>
                <w:p>
                  <w:pPr>
                    <w:spacing w:line="320" w:lineRule="exact"/>
                    <w:jc w:val="center"/>
                    <w:rPr>
                      <w:szCs w:val="21"/>
                    </w:rPr>
                  </w:pPr>
                  <w:r>
                    <w:rPr>
                      <w:rFonts w:hint="eastAsia"/>
                      <w:szCs w:val="21"/>
                    </w:rPr>
                    <w:t>1</w:t>
                  </w:r>
                </w:p>
              </w:tc>
              <w:tc>
                <w:tcPr>
                  <w:tcW w:w="2214" w:type="dxa"/>
                  <w:gridSpan w:val="3"/>
                  <w:vAlign w:val="center"/>
                </w:tcPr>
                <w:p>
                  <w:pPr>
                    <w:spacing w:line="320" w:lineRule="exact"/>
                    <w:jc w:val="center"/>
                    <w:rPr>
                      <w:szCs w:val="21"/>
                    </w:rPr>
                  </w:pPr>
                  <w:r>
                    <w:rPr>
                      <w:szCs w:val="21"/>
                    </w:rPr>
                    <w:t>总</w:t>
                  </w:r>
                  <w:r>
                    <w:rPr>
                      <w:rFonts w:hint="eastAsia"/>
                      <w:szCs w:val="21"/>
                    </w:rPr>
                    <w:t>用地</w:t>
                  </w:r>
                  <w:r>
                    <w:rPr>
                      <w:szCs w:val="21"/>
                    </w:rPr>
                    <w:t>面积</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396449</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06" w:type="dxa"/>
                  <w:vMerge w:val="continue"/>
                  <w:vAlign w:val="center"/>
                </w:tcPr>
                <w:p>
                  <w:pPr>
                    <w:spacing w:line="320" w:lineRule="exact"/>
                    <w:jc w:val="center"/>
                    <w:rPr>
                      <w:rFonts w:hint="eastAsia"/>
                      <w:szCs w:val="21"/>
                    </w:rPr>
                  </w:pPr>
                </w:p>
              </w:tc>
              <w:tc>
                <w:tcPr>
                  <w:tcW w:w="675" w:type="dxa"/>
                  <w:vMerge w:val="restart"/>
                  <w:vAlign w:val="center"/>
                </w:tcPr>
                <w:p>
                  <w:pPr>
                    <w:spacing w:line="320" w:lineRule="exact"/>
                    <w:jc w:val="center"/>
                    <w:rPr>
                      <w:szCs w:val="21"/>
                    </w:rPr>
                  </w:pPr>
                  <w:r>
                    <w:rPr>
                      <w:rFonts w:hint="eastAsia"/>
                      <w:szCs w:val="21"/>
                    </w:rPr>
                    <w:t>其中</w:t>
                  </w:r>
                </w:p>
              </w:tc>
              <w:tc>
                <w:tcPr>
                  <w:tcW w:w="1539" w:type="dxa"/>
                  <w:gridSpan w:val="2"/>
                  <w:vAlign w:val="center"/>
                </w:tcPr>
                <w:p>
                  <w:pPr>
                    <w:spacing w:line="320" w:lineRule="exact"/>
                    <w:jc w:val="center"/>
                    <w:rPr>
                      <w:szCs w:val="21"/>
                    </w:rPr>
                  </w:pPr>
                  <w:r>
                    <w:rPr>
                      <w:rFonts w:hint="eastAsia"/>
                      <w:szCs w:val="21"/>
                    </w:rPr>
                    <w:t>研发办公A区</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rFonts w:hint="eastAsia"/>
                      <w:szCs w:val="21"/>
                    </w:rPr>
                  </w:pPr>
                  <w:r>
                    <w:rPr>
                      <w:rFonts w:hint="eastAsia"/>
                      <w:szCs w:val="21"/>
                    </w:rPr>
                    <w:t>75697</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06" w:type="dxa"/>
                  <w:vMerge w:val="continue"/>
                  <w:vAlign w:val="center"/>
                </w:tcPr>
                <w:p>
                  <w:pPr>
                    <w:spacing w:line="320" w:lineRule="exact"/>
                    <w:jc w:val="center"/>
                    <w:rPr>
                      <w:rFonts w:hint="eastAsia"/>
                      <w:szCs w:val="21"/>
                    </w:rPr>
                  </w:pPr>
                </w:p>
              </w:tc>
              <w:tc>
                <w:tcPr>
                  <w:tcW w:w="675" w:type="dxa"/>
                  <w:vMerge w:val="continue"/>
                  <w:vAlign w:val="center"/>
                </w:tcPr>
                <w:p>
                  <w:pPr>
                    <w:spacing w:line="320" w:lineRule="exact"/>
                    <w:jc w:val="center"/>
                    <w:rPr>
                      <w:szCs w:val="21"/>
                    </w:rPr>
                  </w:pPr>
                </w:p>
              </w:tc>
              <w:tc>
                <w:tcPr>
                  <w:tcW w:w="1539" w:type="dxa"/>
                  <w:gridSpan w:val="2"/>
                  <w:vAlign w:val="center"/>
                </w:tcPr>
                <w:p>
                  <w:pPr>
                    <w:spacing w:line="320" w:lineRule="exact"/>
                    <w:jc w:val="center"/>
                    <w:rPr>
                      <w:szCs w:val="21"/>
                    </w:rPr>
                  </w:pPr>
                  <w:r>
                    <w:rPr>
                      <w:rFonts w:hint="eastAsia"/>
                      <w:szCs w:val="21"/>
                    </w:rPr>
                    <w:t>研发办公B区</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rFonts w:hint="eastAsia"/>
                      <w:szCs w:val="21"/>
                    </w:rPr>
                  </w:pPr>
                  <w:r>
                    <w:rPr>
                      <w:rFonts w:hint="eastAsia"/>
                      <w:szCs w:val="21"/>
                    </w:rPr>
                    <w:t>229173</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06" w:type="dxa"/>
                  <w:vMerge w:val="continue"/>
                  <w:vAlign w:val="center"/>
                </w:tcPr>
                <w:p>
                  <w:pPr>
                    <w:spacing w:line="320" w:lineRule="exact"/>
                    <w:jc w:val="center"/>
                    <w:rPr>
                      <w:rFonts w:hint="eastAsia"/>
                      <w:szCs w:val="21"/>
                    </w:rPr>
                  </w:pPr>
                </w:p>
              </w:tc>
              <w:tc>
                <w:tcPr>
                  <w:tcW w:w="675" w:type="dxa"/>
                  <w:vMerge w:val="continue"/>
                  <w:vAlign w:val="center"/>
                </w:tcPr>
                <w:p>
                  <w:pPr>
                    <w:spacing w:line="320" w:lineRule="exact"/>
                    <w:jc w:val="center"/>
                    <w:rPr>
                      <w:szCs w:val="21"/>
                    </w:rPr>
                  </w:pPr>
                </w:p>
              </w:tc>
              <w:tc>
                <w:tcPr>
                  <w:tcW w:w="1539" w:type="dxa"/>
                  <w:gridSpan w:val="2"/>
                  <w:vAlign w:val="center"/>
                </w:tcPr>
                <w:p>
                  <w:pPr>
                    <w:jc w:val="center"/>
                  </w:pPr>
                  <w:r>
                    <w:rPr>
                      <w:rFonts w:hint="eastAsia"/>
                      <w:szCs w:val="21"/>
                    </w:rPr>
                    <w:t>仓储物流区</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rFonts w:hint="eastAsia"/>
                      <w:szCs w:val="21"/>
                    </w:rPr>
                  </w:pPr>
                  <w:r>
                    <w:rPr>
                      <w:rFonts w:hint="eastAsia"/>
                      <w:szCs w:val="21"/>
                    </w:rPr>
                    <w:t>91579</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trPr>
              <w:tc>
                <w:tcPr>
                  <w:tcW w:w="806" w:type="dxa"/>
                  <w:vMerge w:val="restart"/>
                  <w:vAlign w:val="center"/>
                </w:tcPr>
                <w:p>
                  <w:pPr>
                    <w:spacing w:line="320" w:lineRule="exact"/>
                    <w:jc w:val="center"/>
                    <w:rPr>
                      <w:szCs w:val="21"/>
                    </w:rPr>
                  </w:pPr>
                  <w:r>
                    <w:rPr>
                      <w:rFonts w:hint="eastAsia"/>
                      <w:szCs w:val="21"/>
                    </w:rPr>
                    <w:t>2</w:t>
                  </w:r>
                </w:p>
              </w:tc>
              <w:tc>
                <w:tcPr>
                  <w:tcW w:w="2214" w:type="dxa"/>
                  <w:gridSpan w:val="3"/>
                  <w:vAlign w:val="center"/>
                </w:tcPr>
                <w:p>
                  <w:pPr>
                    <w:spacing w:line="320" w:lineRule="exact"/>
                    <w:jc w:val="center"/>
                    <w:rPr>
                      <w:szCs w:val="21"/>
                    </w:rPr>
                  </w:pPr>
                  <w:r>
                    <w:rPr>
                      <w:rFonts w:hint="eastAsia"/>
                      <w:szCs w:val="21"/>
                    </w:rPr>
                    <w:t>总建筑面积</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516562.44</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restart"/>
                  <w:vAlign w:val="center"/>
                </w:tcPr>
                <w:p>
                  <w:pPr>
                    <w:spacing w:line="320" w:lineRule="exact"/>
                    <w:jc w:val="center"/>
                    <w:rPr>
                      <w:szCs w:val="21"/>
                    </w:rPr>
                  </w:pPr>
                  <w:r>
                    <w:rPr>
                      <w:szCs w:val="21"/>
                    </w:rPr>
                    <w:t>其</w:t>
                  </w:r>
                </w:p>
                <w:p>
                  <w:pPr>
                    <w:spacing w:line="320" w:lineRule="exact"/>
                    <w:jc w:val="center"/>
                    <w:rPr>
                      <w:szCs w:val="21"/>
                    </w:rPr>
                  </w:pPr>
                  <w:r>
                    <w:rPr>
                      <w:szCs w:val="21"/>
                    </w:rPr>
                    <w:t>中</w:t>
                  </w:r>
                </w:p>
              </w:tc>
              <w:tc>
                <w:tcPr>
                  <w:tcW w:w="1483" w:type="dxa"/>
                  <w:vAlign w:val="center"/>
                </w:tcPr>
                <w:p>
                  <w:pPr>
                    <w:spacing w:line="320" w:lineRule="exact"/>
                    <w:jc w:val="center"/>
                    <w:rPr>
                      <w:szCs w:val="21"/>
                    </w:rPr>
                  </w:pPr>
                  <w:r>
                    <w:rPr>
                      <w:rFonts w:hint="eastAsia"/>
                      <w:szCs w:val="21"/>
                    </w:rPr>
                    <w:t>研发办公A区</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97852</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continue"/>
                  <w:vAlign w:val="center"/>
                </w:tcPr>
                <w:p>
                  <w:pPr>
                    <w:spacing w:line="320" w:lineRule="exact"/>
                    <w:jc w:val="center"/>
                    <w:rPr>
                      <w:szCs w:val="21"/>
                    </w:rPr>
                  </w:pPr>
                </w:p>
              </w:tc>
              <w:tc>
                <w:tcPr>
                  <w:tcW w:w="1483" w:type="dxa"/>
                  <w:vAlign w:val="center"/>
                </w:tcPr>
                <w:p>
                  <w:pPr>
                    <w:spacing w:line="320" w:lineRule="exact"/>
                    <w:jc w:val="center"/>
                    <w:rPr>
                      <w:szCs w:val="21"/>
                    </w:rPr>
                  </w:pPr>
                  <w:r>
                    <w:rPr>
                      <w:rFonts w:hint="eastAsia"/>
                      <w:szCs w:val="21"/>
                    </w:rPr>
                    <w:t>研发办公B区</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224868.35</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continue"/>
                  <w:vAlign w:val="center"/>
                </w:tcPr>
                <w:p>
                  <w:pPr>
                    <w:spacing w:line="320" w:lineRule="exact"/>
                    <w:jc w:val="center"/>
                    <w:rPr>
                      <w:szCs w:val="21"/>
                    </w:rPr>
                  </w:pPr>
                </w:p>
              </w:tc>
              <w:tc>
                <w:tcPr>
                  <w:tcW w:w="1483" w:type="dxa"/>
                  <w:vAlign w:val="center"/>
                </w:tcPr>
                <w:p>
                  <w:pPr>
                    <w:jc w:val="center"/>
                  </w:pPr>
                  <w:r>
                    <w:rPr>
                      <w:rFonts w:hint="eastAsia"/>
                      <w:szCs w:val="21"/>
                    </w:rPr>
                    <w:t>1~4#仓库</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96881.57</w:t>
                  </w:r>
                </w:p>
              </w:tc>
              <w:tc>
                <w:tcPr>
                  <w:tcW w:w="2333" w:type="dxa"/>
                  <w:vAlign w:val="center"/>
                </w:tcPr>
                <w:p>
                  <w:pPr>
                    <w:jc w:val="center"/>
                  </w:pPr>
                  <w:r>
                    <w:rPr>
                      <w:rFonts w:hint="eastAsia"/>
                      <w:szCs w:val="21"/>
                    </w:rPr>
                    <w:t>地上一层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continue"/>
                  <w:vAlign w:val="center"/>
                </w:tcPr>
                <w:p>
                  <w:pPr>
                    <w:spacing w:line="320" w:lineRule="exact"/>
                    <w:jc w:val="center"/>
                    <w:rPr>
                      <w:szCs w:val="21"/>
                    </w:rPr>
                  </w:pPr>
                </w:p>
              </w:tc>
              <w:tc>
                <w:tcPr>
                  <w:tcW w:w="1483" w:type="dxa"/>
                  <w:vAlign w:val="center"/>
                </w:tcPr>
                <w:p>
                  <w:pPr>
                    <w:spacing w:line="320" w:lineRule="exact"/>
                    <w:jc w:val="center"/>
                    <w:rPr>
                      <w:szCs w:val="21"/>
                    </w:rPr>
                  </w:pPr>
                  <w:r>
                    <w:rPr>
                      <w:rFonts w:hint="eastAsia"/>
                      <w:szCs w:val="21"/>
                    </w:rPr>
                    <w:t>分拣中心</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95790.52</w:t>
                  </w:r>
                </w:p>
              </w:tc>
              <w:tc>
                <w:tcPr>
                  <w:tcW w:w="2333" w:type="dxa"/>
                  <w:vAlign w:val="center"/>
                </w:tcPr>
                <w:p>
                  <w:pPr>
                    <w:jc w:val="center"/>
                  </w:pPr>
                  <w:r>
                    <w:rPr>
                      <w:rFonts w:hint="eastAsia"/>
                      <w:szCs w:val="21"/>
                    </w:rPr>
                    <w:t>地上二层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continue"/>
                  <w:vAlign w:val="center"/>
                </w:tcPr>
                <w:p>
                  <w:pPr>
                    <w:spacing w:line="320" w:lineRule="exact"/>
                    <w:jc w:val="center"/>
                    <w:rPr>
                      <w:szCs w:val="21"/>
                    </w:rPr>
                  </w:pPr>
                </w:p>
              </w:tc>
              <w:tc>
                <w:tcPr>
                  <w:tcW w:w="1483" w:type="dxa"/>
                  <w:vAlign w:val="center"/>
                </w:tcPr>
                <w:p>
                  <w:pPr>
                    <w:spacing w:line="320" w:lineRule="exact"/>
                    <w:jc w:val="center"/>
                    <w:rPr>
                      <w:szCs w:val="21"/>
                    </w:rPr>
                  </w:pPr>
                  <w:r>
                    <w:rPr>
                      <w:rFonts w:hint="eastAsia"/>
                      <w:szCs w:val="21"/>
                    </w:rPr>
                    <w:t>门卫</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360</w:t>
                  </w:r>
                </w:p>
              </w:tc>
              <w:tc>
                <w:tcPr>
                  <w:tcW w:w="2333" w:type="dxa"/>
                  <w:vAlign w:val="center"/>
                </w:tcPr>
                <w:p>
                  <w:pPr>
                    <w:jc w:val="center"/>
                  </w:pPr>
                  <w:r>
                    <w:rPr>
                      <w:rFonts w:hint="eastAsia"/>
                      <w:szCs w:val="21"/>
                    </w:rPr>
                    <w:t>地上一层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Merge w:val="continue"/>
                  <w:vAlign w:val="center"/>
                </w:tcPr>
                <w:p>
                  <w:pPr>
                    <w:spacing w:line="320" w:lineRule="exact"/>
                    <w:jc w:val="center"/>
                    <w:rPr>
                      <w:szCs w:val="21"/>
                    </w:rPr>
                  </w:pPr>
                </w:p>
              </w:tc>
              <w:tc>
                <w:tcPr>
                  <w:tcW w:w="731" w:type="dxa"/>
                  <w:gridSpan w:val="2"/>
                  <w:vMerge w:val="continue"/>
                  <w:vAlign w:val="center"/>
                </w:tcPr>
                <w:p>
                  <w:pPr>
                    <w:spacing w:line="320" w:lineRule="exact"/>
                    <w:jc w:val="center"/>
                    <w:rPr>
                      <w:szCs w:val="21"/>
                    </w:rPr>
                  </w:pPr>
                </w:p>
              </w:tc>
              <w:tc>
                <w:tcPr>
                  <w:tcW w:w="1483" w:type="dxa"/>
                  <w:vAlign w:val="center"/>
                </w:tcPr>
                <w:p>
                  <w:pPr>
                    <w:spacing w:line="320" w:lineRule="exact"/>
                    <w:jc w:val="center"/>
                    <w:rPr>
                      <w:szCs w:val="21"/>
                    </w:rPr>
                  </w:pPr>
                  <w:r>
                    <w:rPr>
                      <w:rFonts w:hint="eastAsia"/>
                      <w:szCs w:val="21"/>
                    </w:rPr>
                    <w:t>库间雨棚</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rFonts w:hint="eastAsia"/>
                      <w:szCs w:val="21"/>
                    </w:rPr>
                    <w:t>810</w:t>
                  </w:r>
                </w:p>
              </w:tc>
              <w:tc>
                <w:tcPr>
                  <w:tcW w:w="2333" w:type="dxa"/>
                  <w:vAlign w:val="center"/>
                </w:tcPr>
                <w:p>
                  <w:pPr>
                    <w:jc w:val="center"/>
                  </w:pPr>
                  <w:r>
                    <w:rPr>
                      <w:rFonts w:hint="eastAsia"/>
                      <w:szCs w:val="21"/>
                    </w:rPr>
                    <w:t>地上一层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3</w:t>
                  </w:r>
                </w:p>
              </w:tc>
              <w:tc>
                <w:tcPr>
                  <w:tcW w:w="2214" w:type="dxa"/>
                  <w:gridSpan w:val="3"/>
                  <w:vAlign w:val="center"/>
                </w:tcPr>
                <w:p>
                  <w:pPr>
                    <w:spacing w:line="320" w:lineRule="exact"/>
                    <w:jc w:val="center"/>
                    <w:rPr>
                      <w:szCs w:val="21"/>
                    </w:rPr>
                  </w:pPr>
                  <w:r>
                    <w:rPr>
                      <w:szCs w:val="21"/>
                    </w:rPr>
                    <w:t>地上停车位</w:t>
                  </w:r>
                </w:p>
              </w:tc>
              <w:tc>
                <w:tcPr>
                  <w:tcW w:w="837" w:type="dxa"/>
                  <w:vAlign w:val="center"/>
                </w:tcPr>
                <w:p>
                  <w:pPr>
                    <w:spacing w:line="320" w:lineRule="exact"/>
                    <w:jc w:val="center"/>
                    <w:rPr>
                      <w:szCs w:val="21"/>
                    </w:rPr>
                  </w:pPr>
                  <w:r>
                    <w:rPr>
                      <w:szCs w:val="21"/>
                    </w:rPr>
                    <w:t>辆</w:t>
                  </w:r>
                </w:p>
              </w:tc>
              <w:tc>
                <w:tcPr>
                  <w:tcW w:w="2144" w:type="dxa"/>
                  <w:vAlign w:val="center"/>
                </w:tcPr>
                <w:p>
                  <w:pPr>
                    <w:spacing w:line="320" w:lineRule="exact"/>
                    <w:jc w:val="center"/>
                    <w:rPr>
                      <w:szCs w:val="21"/>
                    </w:rPr>
                  </w:pPr>
                  <w:r>
                    <w:rPr>
                      <w:rFonts w:hint="eastAsia"/>
                      <w:szCs w:val="21"/>
                    </w:rPr>
                    <w:t>527</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4</w:t>
                  </w:r>
                </w:p>
              </w:tc>
              <w:tc>
                <w:tcPr>
                  <w:tcW w:w="2214" w:type="dxa"/>
                  <w:gridSpan w:val="3"/>
                  <w:vAlign w:val="center"/>
                </w:tcPr>
                <w:p>
                  <w:pPr>
                    <w:spacing w:line="320" w:lineRule="exact"/>
                    <w:jc w:val="center"/>
                    <w:rPr>
                      <w:szCs w:val="21"/>
                    </w:rPr>
                  </w:pPr>
                  <w:r>
                    <w:rPr>
                      <w:szCs w:val="21"/>
                    </w:rPr>
                    <w:t>绿地率</w:t>
                  </w:r>
                </w:p>
              </w:tc>
              <w:tc>
                <w:tcPr>
                  <w:tcW w:w="837" w:type="dxa"/>
                  <w:vAlign w:val="center"/>
                </w:tcPr>
                <w:p>
                  <w:pPr>
                    <w:spacing w:line="320" w:lineRule="exact"/>
                    <w:jc w:val="center"/>
                    <w:rPr>
                      <w:szCs w:val="21"/>
                    </w:rPr>
                  </w:pPr>
                  <w:r>
                    <w:rPr>
                      <w:szCs w:val="21"/>
                    </w:rPr>
                    <w:t>%</w:t>
                  </w:r>
                </w:p>
              </w:tc>
              <w:tc>
                <w:tcPr>
                  <w:tcW w:w="2144" w:type="dxa"/>
                  <w:vAlign w:val="center"/>
                </w:tcPr>
                <w:p>
                  <w:pPr>
                    <w:spacing w:line="320" w:lineRule="exact"/>
                    <w:jc w:val="center"/>
                    <w:rPr>
                      <w:szCs w:val="21"/>
                    </w:rPr>
                  </w:pPr>
                  <w:r>
                    <w:rPr>
                      <w:rFonts w:hint="eastAsia"/>
                      <w:szCs w:val="21"/>
                    </w:rPr>
                    <w:t>16.7</w:t>
                  </w:r>
                  <w:r>
                    <w:rPr>
                      <w:szCs w:val="21"/>
                    </w:rPr>
                    <w:t>%</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5</w:t>
                  </w:r>
                </w:p>
              </w:tc>
              <w:tc>
                <w:tcPr>
                  <w:tcW w:w="2214" w:type="dxa"/>
                  <w:gridSpan w:val="3"/>
                  <w:vAlign w:val="center"/>
                </w:tcPr>
                <w:p>
                  <w:pPr>
                    <w:spacing w:line="320" w:lineRule="exact"/>
                    <w:jc w:val="center"/>
                    <w:rPr>
                      <w:szCs w:val="21"/>
                    </w:rPr>
                  </w:pPr>
                  <w:r>
                    <w:rPr>
                      <w:szCs w:val="21"/>
                    </w:rPr>
                    <w:t>绿地面积</w:t>
                  </w:r>
                </w:p>
              </w:tc>
              <w:tc>
                <w:tcPr>
                  <w:tcW w:w="837" w:type="dxa"/>
                  <w:vAlign w:val="center"/>
                </w:tcPr>
                <w:p>
                  <w:pPr>
                    <w:spacing w:line="320" w:lineRule="exact"/>
                    <w:jc w:val="center"/>
                    <w:rPr>
                      <w:szCs w:val="21"/>
                    </w:rPr>
                  </w:pPr>
                  <w:r>
                    <w:rPr>
                      <w:szCs w:val="21"/>
                    </w:rPr>
                    <w:t>m</w:t>
                  </w:r>
                  <w:r>
                    <w:rPr>
                      <w:szCs w:val="21"/>
                      <w:vertAlign w:val="superscript"/>
                    </w:rPr>
                    <w:t>2</w:t>
                  </w:r>
                </w:p>
              </w:tc>
              <w:tc>
                <w:tcPr>
                  <w:tcW w:w="2144" w:type="dxa"/>
                  <w:vAlign w:val="center"/>
                </w:tcPr>
                <w:p>
                  <w:pPr>
                    <w:spacing w:line="320" w:lineRule="exact"/>
                    <w:jc w:val="center"/>
                    <w:rPr>
                      <w:szCs w:val="21"/>
                    </w:rPr>
                  </w:pPr>
                  <w:r>
                    <w:rPr>
                      <w:snapToGrid w:val="0"/>
                      <w:szCs w:val="21"/>
                    </w:rPr>
                    <w:t>66220.4</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5</w:t>
                  </w:r>
                </w:p>
              </w:tc>
              <w:tc>
                <w:tcPr>
                  <w:tcW w:w="2214" w:type="dxa"/>
                  <w:gridSpan w:val="3"/>
                  <w:vAlign w:val="center"/>
                </w:tcPr>
                <w:p>
                  <w:pPr>
                    <w:spacing w:line="320" w:lineRule="exact"/>
                    <w:jc w:val="center"/>
                    <w:rPr>
                      <w:szCs w:val="21"/>
                    </w:rPr>
                  </w:pPr>
                  <w:r>
                    <w:rPr>
                      <w:rFonts w:hint="eastAsia"/>
                      <w:szCs w:val="21"/>
                    </w:rPr>
                    <w:t>容积率</w:t>
                  </w:r>
                </w:p>
              </w:tc>
              <w:tc>
                <w:tcPr>
                  <w:tcW w:w="837" w:type="dxa"/>
                  <w:vAlign w:val="center"/>
                </w:tcPr>
                <w:p>
                  <w:pPr>
                    <w:spacing w:line="320" w:lineRule="exact"/>
                    <w:jc w:val="center"/>
                    <w:rPr>
                      <w:szCs w:val="21"/>
                    </w:rPr>
                  </w:pPr>
                  <w:r>
                    <w:rPr>
                      <w:rFonts w:hint="eastAsia"/>
                      <w:szCs w:val="21"/>
                    </w:rPr>
                    <w:t>/</w:t>
                  </w:r>
                </w:p>
              </w:tc>
              <w:tc>
                <w:tcPr>
                  <w:tcW w:w="2144" w:type="dxa"/>
                  <w:vAlign w:val="center"/>
                </w:tcPr>
                <w:p>
                  <w:pPr>
                    <w:spacing w:line="320" w:lineRule="exact"/>
                    <w:jc w:val="center"/>
                    <w:rPr>
                      <w:szCs w:val="21"/>
                    </w:rPr>
                  </w:pPr>
                  <w:r>
                    <w:rPr>
                      <w:rFonts w:hint="eastAsia"/>
                      <w:szCs w:val="21"/>
                    </w:rPr>
                    <w:t>1.3</w:t>
                  </w:r>
                </w:p>
              </w:tc>
              <w:tc>
                <w:tcPr>
                  <w:tcW w:w="2333" w:type="dxa"/>
                  <w:vAlign w:val="center"/>
                </w:tcPr>
                <w:p>
                  <w:pPr>
                    <w:spacing w:line="320" w:lineRule="exact"/>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trPr>
              <w:tc>
                <w:tcPr>
                  <w:tcW w:w="806" w:type="dxa"/>
                  <w:vAlign w:val="center"/>
                </w:tcPr>
                <w:p>
                  <w:pPr>
                    <w:spacing w:line="320" w:lineRule="exact"/>
                    <w:jc w:val="center"/>
                    <w:rPr>
                      <w:szCs w:val="21"/>
                    </w:rPr>
                  </w:pPr>
                  <w:r>
                    <w:rPr>
                      <w:rFonts w:hint="eastAsia"/>
                      <w:szCs w:val="21"/>
                    </w:rPr>
                    <w:t>6</w:t>
                  </w:r>
                </w:p>
              </w:tc>
              <w:tc>
                <w:tcPr>
                  <w:tcW w:w="2214" w:type="dxa"/>
                  <w:gridSpan w:val="3"/>
                  <w:vAlign w:val="center"/>
                </w:tcPr>
                <w:p>
                  <w:pPr>
                    <w:spacing w:line="320" w:lineRule="exact"/>
                    <w:jc w:val="center"/>
                    <w:rPr>
                      <w:szCs w:val="21"/>
                    </w:rPr>
                  </w:pPr>
                  <w:r>
                    <w:rPr>
                      <w:rFonts w:hint="eastAsia"/>
                      <w:szCs w:val="21"/>
                    </w:rPr>
                    <w:t>建筑密度</w:t>
                  </w:r>
                </w:p>
              </w:tc>
              <w:tc>
                <w:tcPr>
                  <w:tcW w:w="837" w:type="dxa"/>
                  <w:vAlign w:val="center"/>
                </w:tcPr>
                <w:p>
                  <w:pPr>
                    <w:spacing w:line="320" w:lineRule="exact"/>
                    <w:jc w:val="center"/>
                    <w:rPr>
                      <w:szCs w:val="21"/>
                    </w:rPr>
                  </w:pPr>
                  <w:r>
                    <w:rPr>
                      <w:rFonts w:hint="eastAsia"/>
                      <w:szCs w:val="21"/>
                    </w:rPr>
                    <w:t>%</w:t>
                  </w:r>
                </w:p>
              </w:tc>
              <w:tc>
                <w:tcPr>
                  <w:tcW w:w="2144" w:type="dxa"/>
                  <w:vAlign w:val="center"/>
                </w:tcPr>
                <w:p>
                  <w:pPr>
                    <w:spacing w:line="320" w:lineRule="exact"/>
                    <w:jc w:val="center"/>
                    <w:rPr>
                      <w:szCs w:val="21"/>
                    </w:rPr>
                  </w:pPr>
                  <w:r>
                    <w:rPr>
                      <w:rFonts w:hint="eastAsia"/>
                      <w:szCs w:val="21"/>
                    </w:rPr>
                    <w:t>41.9</w:t>
                  </w:r>
                </w:p>
              </w:tc>
              <w:tc>
                <w:tcPr>
                  <w:tcW w:w="2333" w:type="dxa"/>
                  <w:vAlign w:val="center"/>
                </w:tcPr>
                <w:p>
                  <w:pPr>
                    <w:spacing w:line="320" w:lineRule="exact"/>
                    <w:jc w:val="center"/>
                    <w:rPr>
                      <w:rFonts w:hint="eastAsia"/>
                      <w:szCs w:val="21"/>
                    </w:rPr>
                  </w:pPr>
                  <w:r>
                    <w:rPr>
                      <w:rFonts w:hint="eastAsia"/>
                      <w:szCs w:val="21"/>
                    </w:rPr>
                    <w:t>/</w:t>
                  </w:r>
                </w:p>
              </w:tc>
            </w:tr>
          </w:tbl>
          <w:p>
            <w:pPr>
              <w:spacing w:line="360" w:lineRule="auto"/>
              <w:ind w:firstLine="540" w:firstLineChars="225"/>
              <w:rPr>
                <w:rFonts w:hint="eastAsia"/>
                <w:sz w:val="24"/>
              </w:rPr>
            </w:pPr>
          </w:p>
          <w:p>
            <w:pPr>
              <w:spacing w:line="360" w:lineRule="auto"/>
              <w:ind w:firstLine="540" w:firstLineChars="225"/>
              <w:rPr>
                <w:sz w:val="24"/>
              </w:rPr>
            </w:pPr>
            <w:r>
              <w:rPr>
                <w:sz w:val="24"/>
              </w:rPr>
              <w:t>3）、公用工程及辅助工程</w:t>
            </w:r>
          </w:p>
          <w:p>
            <w:pPr>
              <w:spacing w:line="360" w:lineRule="auto"/>
              <w:ind w:firstLine="480" w:firstLineChars="200"/>
              <w:rPr>
                <w:color w:val="000000"/>
                <w:sz w:val="24"/>
              </w:rPr>
            </w:pPr>
            <w:r>
              <w:rPr>
                <w:color w:val="000000"/>
                <w:sz w:val="24"/>
              </w:rPr>
              <w:t>项目公用及辅助工程汇总见表</w:t>
            </w:r>
            <w:r>
              <w:rPr>
                <w:rFonts w:hint="eastAsia"/>
                <w:color w:val="000000"/>
                <w:sz w:val="24"/>
              </w:rPr>
              <w:t>2-</w:t>
            </w:r>
            <w:r>
              <w:rPr>
                <w:color w:val="000000"/>
                <w:sz w:val="24"/>
              </w:rPr>
              <w:t>3。</w:t>
            </w:r>
          </w:p>
          <w:p>
            <w:pPr>
              <w:adjustRightInd w:val="0"/>
              <w:snapToGrid w:val="0"/>
              <w:ind w:firstLine="422" w:firstLineChars="200"/>
              <w:jc w:val="center"/>
              <w:rPr>
                <w:b/>
              </w:rPr>
            </w:pPr>
            <w:r>
              <w:rPr>
                <w:b/>
              </w:rPr>
              <w:t>表</w:t>
            </w:r>
            <w:r>
              <w:rPr>
                <w:rFonts w:hint="eastAsia"/>
                <w:b/>
              </w:rPr>
              <w:t>2-</w:t>
            </w:r>
            <w:r>
              <w:rPr>
                <w:b/>
              </w:rPr>
              <w:t>3 项目公用工程及辅助工程表</w:t>
            </w:r>
          </w:p>
          <w:tbl>
            <w:tblPr>
              <w:tblStyle w:val="33"/>
              <w:tblW w:w="8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133"/>
              <w:gridCol w:w="3685"/>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15" w:type="dxa"/>
                  <w:gridSpan w:val="2"/>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建设名称</w:t>
                  </w:r>
                </w:p>
              </w:tc>
              <w:tc>
                <w:tcPr>
                  <w:tcW w:w="3685"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工程设计能力</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82" w:type="dxa"/>
                  <w:vMerge w:val="restart"/>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贮运</w:t>
                  </w:r>
                </w:p>
                <w:p>
                  <w:pPr>
                    <w:pStyle w:val="45"/>
                    <w:jc w:val="center"/>
                    <w:rPr>
                      <w:rFonts w:eastAsia="宋体"/>
                      <w:snapToGrid w:val="0"/>
                      <w:color w:val="000000"/>
                      <w:spacing w:val="0"/>
                      <w:kern w:val="2"/>
                      <w:szCs w:val="21"/>
                    </w:rPr>
                  </w:pPr>
                  <w:r>
                    <w:rPr>
                      <w:rFonts w:eastAsia="宋体"/>
                      <w:snapToGrid w:val="0"/>
                      <w:color w:val="000000"/>
                      <w:spacing w:val="0"/>
                      <w:kern w:val="2"/>
                      <w:szCs w:val="21"/>
                    </w:rPr>
                    <w:t>工程</w:t>
                  </w: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原料仓库</w:t>
                  </w:r>
                </w:p>
              </w:tc>
              <w:tc>
                <w:tcPr>
                  <w:tcW w:w="3685"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新建</w:t>
                  </w:r>
                  <w:r>
                    <w:rPr>
                      <w:rFonts w:hint="eastAsia" w:eastAsia="宋体"/>
                      <w:snapToGrid w:val="0"/>
                      <w:color w:val="000000"/>
                      <w:spacing w:val="0"/>
                      <w:kern w:val="2"/>
                      <w:szCs w:val="21"/>
                    </w:rPr>
                    <w:t>物流商品</w:t>
                  </w:r>
                  <w:r>
                    <w:rPr>
                      <w:rFonts w:eastAsia="宋体"/>
                      <w:snapToGrid w:val="0"/>
                      <w:color w:val="000000"/>
                      <w:spacing w:val="0"/>
                      <w:kern w:val="2"/>
                      <w:szCs w:val="21"/>
                    </w:rPr>
                    <w:t>仓库</w:t>
                  </w:r>
                  <w:r>
                    <w:rPr>
                      <w:rFonts w:hint="eastAsia" w:eastAsia="宋体"/>
                      <w:snapToGrid w:val="0"/>
                      <w:color w:val="000000"/>
                      <w:spacing w:val="0"/>
                      <w:kern w:val="2"/>
                      <w:szCs w:val="21"/>
                    </w:rPr>
                    <w:t>4</w:t>
                  </w:r>
                  <w:r>
                    <w:rPr>
                      <w:rFonts w:eastAsia="宋体"/>
                      <w:snapToGrid w:val="0"/>
                      <w:color w:val="000000"/>
                      <w:spacing w:val="0"/>
                      <w:kern w:val="2"/>
                      <w:szCs w:val="21"/>
                    </w:rPr>
                    <w:t>座</w:t>
                  </w:r>
                </w:p>
              </w:tc>
              <w:tc>
                <w:tcPr>
                  <w:tcW w:w="2934" w:type="dxa"/>
                  <w:shd w:val="clear" w:color="auto" w:fill="auto"/>
                  <w:vAlign w:val="center"/>
                </w:tcPr>
                <w:p>
                  <w:pPr>
                    <w:pStyle w:val="45"/>
                    <w:jc w:val="center"/>
                    <w:rPr>
                      <w:rFonts w:eastAsia="宋体"/>
                      <w:snapToGrid w:val="0"/>
                      <w:color w:val="000000"/>
                      <w:spacing w:val="0"/>
                      <w:kern w:val="2"/>
                      <w:szCs w:val="21"/>
                    </w:rPr>
                  </w:pPr>
                  <w:r>
                    <w:rPr>
                      <w:rFonts w:hint="eastAsia" w:eastAsia="宋体"/>
                      <w:snapToGrid w:val="0"/>
                      <w:color w:val="000000"/>
                      <w:spacing w:val="0"/>
                      <w:kern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运输</w:t>
                  </w:r>
                </w:p>
              </w:tc>
              <w:tc>
                <w:tcPr>
                  <w:tcW w:w="3685" w:type="dxa"/>
                  <w:shd w:val="clear" w:color="auto" w:fill="auto"/>
                  <w:vAlign w:val="center"/>
                </w:tcPr>
                <w:p>
                  <w:pPr>
                    <w:pStyle w:val="45"/>
                    <w:jc w:val="center"/>
                    <w:rPr>
                      <w:rFonts w:eastAsia="宋体"/>
                      <w:snapToGrid w:val="0"/>
                      <w:color w:val="000000"/>
                      <w:spacing w:val="0"/>
                      <w:kern w:val="2"/>
                      <w:szCs w:val="21"/>
                    </w:rPr>
                  </w:pPr>
                  <w:bookmarkStart w:id="1" w:name="OLE_LINK6"/>
                  <w:bookmarkStart w:id="2" w:name="OLE_LINK7"/>
                  <w:r>
                    <w:rPr>
                      <w:rFonts w:eastAsia="宋体"/>
                      <w:snapToGrid w:val="0"/>
                      <w:color w:val="000000"/>
                      <w:spacing w:val="0"/>
                      <w:kern w:val="2"/>
                      <w:szCs w:val="21"/>
                    </w:rPr>
                    <w:t>收货车辆：1、采购入库190辆/天；2、中转、调拨、退货入库64辆/天；3、快递入库160辆/天；</w:t>
                  </w:r>
                </w:p>
                <w:p>
                  <w:pPr>
                    <w:pStyle w:val="45"/>
                    <w:jc w:val="center"/>
                    <w:rPr>
                      <w:rFonts w:eastAsia="宋体"/>
                      <w:snapToGrid w:val="0"/>
                      <w:color w:val="000000"/>
                      <w:spacing w:val="0"/>
                      <w:kern w:val="2"/>
                      <w:szCs w:val="21"/>
                    </w:rPr>
                  </w:pPr>
                  <w:r>
                    <w:rPr>
                      <w:rFonts w:eastAsia="宋体"/>
                      <w:snapToGrid w:val="0"/>
                      <w:color w:val="000000"/>
                      <w:spacing w:val="0"/>
                      <w:kern w:val="2"/>
                      <w:szCs w:val="21"/>
                    </w:rPr>
                    <w:t>发货车辆：1、本市配送235辆/天；2、外市配送170辆/天</w:t>
                  </w:r>
                  <w:bookmarkEnd w:id="1"/>
                  <w:bookmarkEnd w:id="2"/>
                </w:p>
              </w:tc>
              <w:tc>
                <w:tcPr>
                  <w:tcW w:w="2934" w:type="dxa"/>
                  <w:shd w:val="clear" w:color="auto" w:fill="auto"/>
                  <w:vAlign w:val="center"/>
                </w:tcPr>
                <w:p>
                  <w:pPr>
                    <w:pStyle w:val="45"/>
                    <w:jc w:val="center"/>
                    <w:rPr>
                      <w:rFonts w:eastAsia="宋体"/>
                      <w:snapToGrid w:val="0"/>
                      <w:color w:val="000000"/>
                      <w:spacing w:val="0"/>
                      <w:kern w:val="2"/>
                      <w:szCs w:val="21"/>
                    </w:rPr>
                  </w:pPr>
                  <w:r>
                    <w:rPr>
                      <w:rFonts w:hint="eastAsia" w:eastAsia="宋体"/>
                      <w:snapToGrid w:val="0"/>
                      <w:color w:val="000000"/>
                      <w:spacing w:val="0"/>
                      <w:kern w:val="2"/>
                      <w:szCs w:val="21"/>
                    </w:rPr>
                    <w:t>物流配送力量由项目单位、其他物流配送公司、社会车辆等组成。本项目内不设加油站，车辆维修、养护、冲洗均依托项目东侧苏宁物流中心项目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582" w:type="dxa"/>
                  <w:vMerge w:val="restart"/>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公用</w:t>
                  </w:r>
                </w:p>
                <w:p>
                  <w:pPr>
                    <w:pStyle w:val="45"/>
                    <w:jc w:val="center"/>
                    <w:rPr>
                      <w:rFonts w:eastAsia="宋体"/>
                      <w:snapToGrid w:val="0"/>
                      <w:color w:val="000000"/>
                      <w:spacing w:val="0"/>
                      <w:kern w:val="2"/>
                      <w:szCs w:val="21"/>
                    </w:rPr>
                  </w:pPr>
                  <w:r>
                    <w:rPr>
                      <w:rFonts w:eastAsia="宋体"/>
                      <w:snapToGrid w:val="0"/>
                      <w:color w:val="000000"/>
                      <w:spacing w:val="0"/>
                      <w:kern w:val="2"/>
                      <w:szCs w:val="21"/>
                    </w:rPr>
                    <w:t>工程</w:t>
                  </w: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给水</w:t>
                  </w:r>
                </w:p>
              </w:tc>
              <w:tc>
                <w:tcPr>
                  <w:tcW w:w="3685" w:type="dxa"/>
                  <w:shd w:val="clear" w:color="auto" w:fill="auto"/>
                  <w:vAlign w:val="center"/>
                </w:tcPr>
                <w:p>
                  <w:pPr>
                    <w:pStyle w:val="45"/>
                    <w:jc w:val="center"/>
                    <w:rPr>
                      <w:rFonts w:eastAsia="宋体"/>
                      <w:snapToGrid w:val="0"/>
                      <w:spacing w:val="0"/>
                      <w:kern w:val="2"/>
                      <w:szCs w:val="21"/>
                    </w:rPr>
                  </w:pPr>
                  <w:r>
                    <w:rPr>
                      <w:rFonts w:eastAsia="宋体"/>
                      <w:snapToGrid w:val="0"/>
                      <w:spacing w:val="0"/>
                      <w:kern w:val="2"/>
                      <w:szCs w:val="21"/>
                    </w:rPr>
                    <w:t>新鲜水用量</w:t>
                  </w:r>
                  <w:r>
                    <w:rPr>
                      <w:rFonts w:hint="eastAsia" w:eastAsia="宋体"/>
                      <w:snapToGrid w:val="0"/>
                      <w:spacing w:val="0"/>
                      <w:kern w:val="2"/>
                      <w:szCs w:val="21"/>
                    </w:rPr>
                    <w:t>60935</w:t>
                  </w:r>
                  <w:r>
                    <w:rPr>
                      <w:rFonts w:eastAsia="宋体"/>
                      <w:snapToGrid w:val="0"/>
                      <w:spacing w:val="0"/>
                      <w:kern w:val="2"/>
                      <w:szCs w:val="21"/>
                    </w:rPr>
                    <w:t>t/a</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南京市供水有限公司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排水</w:t>
                  </w:r>
                </w:p>
              </w:tc>
              <w:tc>
                <w:tcPr>
                  <w:tcW w:w="3685" w:type="dxa"/>
                  <w:shd w:val="clear" w:color="auto" w:fill="auto"/>
                  <w:vAlign w:val="center"/>
                </w:tcPr>
                <w:p>
                  <w:pPr>
                    <w:pStyle w:val="45"/>
                    <w:jc w:val="center"/>
                    <w:rPr>
                      <w:rFonts w:eastAsia="宋体"/>
                      <w:snapToGrid w:val="0"/>
                      <w:spacing w:val="0"/>
                      <w:kern w:val="2"/>
                      <w:szCs w:val="21"/>
                    </w:rPr>
                  </w:pPr>
                  <w:r>
                    <w:rPr>
                      <w:rFonts w:eastAsia="宋体"/>
                      <w:snapToGrid w:val="0"/>
                      <w:spacing w:val="0"/>
                      <w:kern w:val="2"/>
                      <w:szCs w:val="21"/>
                    </w:rPr>
                    <w:t>厂区雨污分流，废水排放量为</w:t>
                  </w:r>
                  <w:r>
                    <w:rPr>
                      <w:rFonts w:hint="eastAsia" w:eastAsia="宋体"/>
                      <w:snapToGrid w:val="0"/>
                      <w:spacing w:val="0"/>
                      <w:kern w:val="2"/>
                      <w:szCs w:val="21"/>
                    </w:rPr>
                    <w:t>26816</w:t>
                  </w:r>
                  <w:r>
                    <w:rPr>
                      <w:rFonts w:eastAsia="宋体"/>
                      <w:snapToGrid w:val="0"/>
                      <w:spacing w:val="0"/>
                      <w:kern w:val="2"/>
                      <w:szCs w:val="21"/>
                    </w:rPr>
                    <w:t>t/a，经化粪池处理后接管城南污水处理厂</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供电</w:t>
                  </w:r>
                </w:p>
              </w:tc>
              <w:tc>
                <w:tcPr>
                  <w:tcW w:w="3685" w:type="dxa"/>
                  <w:shd w:val="clear" w:color="auto" w:fill="auto"/>
                  <w:vAlign w:val="center"/>
                </w:tcPr>
                <w:p>
                  <w:pPr>
                    <w:pStyle w:val="45"/>
                    <w:jc w:val="center"/>
                    <w:rPr>
                      <w:rFonts w:eastAsia="宋体"/>
                      <w:snapToGrid w:val="0"/>
                      <w:spacing w:val="0"/>
                      <w:kern w:val="2"/>
                      <w:szCs w:val="21"/>
                    </w:rPr>
                  </w:pPr>
                  <w:r>
                    <w:rPr>
                      <w:rFonts w:hint="eastAsia" w:eastAsia="宋体"/>
                      <w:snapToGrid w:val="0"/>
                      <w:spacing w:val="0"/>
                      <w:kern w:val="2"/>
                      <w:szCs w:val="21"/>
                    </w:rPr>
                    <w:t>455.9</w:t>
                  </w:r>
                  <w:r>
                    <w:rPr>
                      <w:rFonts w:eastAsia="宋体"/>
                      <w:snapToGrid w:val="0"/>
                      <w:spacing w:val="0"/>
                      <w:kern w:val="2"/>
                      <w:szCs w:val="21"/>
                    </w:rPr>
                    <w:t>万度/年</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由市政电网供电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绿化</w:t>
                  </w:r>
                </w:p>
              </w:tc>
              <w:tc>
                <w:tcPr>
                  <w:tcW w:w="3685" w:type="dxa"/>
                  <w:shd w:val="clear" w:color="auto" w:fill="auto"/>
                  <w:vAlign w:val="center"/>
                </w:tcPr>
                <w:p>
                  <w:pPr>
                    <w:pStyle w:val="45"/>
                    <w:jc w:val="center"/>
                    <w:rPr>
                      <w:rFonts w:eastAsia="宋体"/>
                      <w:snapToGrid w:val="0"/>
                      <w:spacing w:val="0"/>
                      <w:kern w:val="2"/>
                      <w:szCs w:val="21"/>
                    </w:rPr>
                  </w:pPr>
                  <w:r>
                    <w:rPr>
                      <w:rFonts w:eastAsia="宋体"/>
                      <w:snapToGrid w:val="0"/>
                      <w:spacing w:val="0"/>
                      <w:kern w:val="2"/>
                      <w:szCs w:val="21"/>
                    </w:rPr>
                    <w:t>新增绿化面积66220.4m</w:t>
                  </w:r>
                  <w:r>
                    <w:rPr>
                      <w:rFonts w:eastAsia="宋体"/>
                      <w:snapToGrid w:val="0"/>
                      <w:spacing w:val="0"/>
                      <w:kern w:val="2"/>
                      <w:szCs w:val="21"/>
                      <w:vertAlign w:val="superscript"/>
                    </w:rPr>
                    <w:t>2</w:t>
                  </w:r>
                  <w:r>
                    <w:rPr>
                      <w:rFonts w:eastAsia="宋体"/>
                      <w:snapToGrid w:val="0"/>
                      <w:spacing w:val="0"/>
                      <w:kern w:val="2"/>
                      <w:szCs w:val="21"/>
                    </w:rPr>
                    <w:t>，绿化率</w:t>
                  </w:r>
                  <w:r>
                    <w:rPr>
                      <w:rFonts w:hint="eastAsia" w:eastAsia="宋体"/>
                      <w:snapToGrid w:val="0"/>
                      <w:spacing w:val="0"/>
                      <w:kern w:val="2"/>
                      <w:szCs w:val="21"/>
                    </w:rPr>
                    <w:t>16.7</w:t>
                  </w:r>
                  <w:r>
                    <w:rPr>
                      <w:rFonts w:eastAsia="宋体"/>
                      <w:snapToGrid w:val="0"/>
                      <w:spacing w:val="0"/>
                      <w:kern w:val="2"/>
                      <w:szCs w:val="21"/>
                    </w:rPr>
                    <w:t>%</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582" w:type="dxa"/>
                  <w:vMerge w:val="restart"/>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环保</w:t>
                  </w:r>
                </w:p>
                <w:p>
                  <w:pPr>
                    <w:pStyle w:val="45"/>
                    <w:jc w:val="center"/>
                    <w:rPr>
                      <w:rFonts w:eastAsia="宋体"/>
                      <w:snapToGrid w:val="0"/>
                      <w:color w:val="000000"/>
                      <w:spacing w:val="0"/>
                      <w:kern w:val="2"/>
                      <w:szCs w:val="21"/>
                    </w:rPr>
                  </w:pPr>
                  <w:r>
                    <w:rPr>
                      <w:rFonts w:eastAsia="宋体"/>
                      <w:snapToGrid w:val="0"/>
                      <w:color w:val="000000"/>
                      <w:spacing w:val="0"/>
                      <w:kern w:val="2"/>
                      <w:szCs w:val="21"/>
                    </w:rPr>
                    <w:t>工程</w:t>
                  </w:r>
                </w:p>
              </w:tc>
              <w:tc>
                <w:tcPr>
                  <w:tcW w:w="1133"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废水处理</w:t>
                  </w:r>
                </w:p>
              </w:tc>
              <w:tc>
                <w:tcPr>
                  <w:tcW w:w="3685" w:type="dxa"/>
                  <w:shd w:val="clear" w:color="auto" w:fill="auto"/>
                  <w:vAlign w:val="center"/>
                </w:tcPr>
                <w:p>
                  <w:pPr>
                    <w:pStyle w:val="45"/>
                    <w:jc w:val="center"/>
                    <w:rPr>
                      <w:rFonts w:eastAsia="宋体"/>
                      <w:snapToGrid w:val="0"/>
                      <w:spacing w:val="0"/>
                      <w:kern w:val="2"/>
                      <w:szCs w:val="21"/>
                    </w:rPr>
                  </w:pPr>
                  <w:r>
                    <w:rPr>
                      <w:rFonts w:eastAsia="宋体"/>
                      <w:snapToGrid w:val="0"/>
                      <w:spacing w:val="0"/>
                      <w:kern w:val="2"/>
                      <w:szCs w:val="21"/>
                    </w:rPr>
                    <w:t>化粪池处理，废水排放量为</w:t>
                  </w:r>
                  <w:r>
                    <w:rPr>
                      <w:rFonts w:hint="eastAsia" w:eastAsia="宋体"/>
                      <w:snapToGrid w:val="0"/>
                      <w:spacing w:val="0"/>
                      <w:kern w:val="2"/>
                      <w:szCs w:val="21"/>
                    </w:rPr>
                    <w:t>26816</w:t>
                  </w:r>
                  <w:r>
                    <w:rPr>
                      <w:rFonts w:eastAsia="宋体"/>
                      <w:snapToGrid w:val="0"/>
                      <w:spacing w:val="0"/>
                      <w:kern w:val="2"/>
                      <w:szCs w:val="21"/>
                    </w:rPr>
                    <w:t>t/a</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经化粪池处理达标后排入南京城南污水处理厂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vMerge w:val="restart"/>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固废处理</w:t>
                  </w:r>
                </w:p>
              </w:tc>
              <w:tc>
                <w:tcPr>
                  <w:tcW w:w="3685" w:type="dxa"/>
                  <w:shd w:val="clear" w:color="auto" w:fill="auto"/>
                  <w:vAlign w:val="center"/>
                </w:tcPr>
                <w:p>
                  <w:pPr>
                    <w:pStyle w:val="45"/>
                    <w:jc w:val="center"/>
                    <w:rPr>
                      <w:rFonts w:eastAsia="宋体"/>
                      <w:snapToGrid w:val="0"/>
                      <w:spacing w:val="0"/>
                      <w:kern w:val="2"/>
                      <w:szCs w:val="21"/>
                    </w:rPr>
                  </w:pPr>
                  <w:r>
                    <w:rPr>
                      <w:rFonts w:eastAsia="宋体"/>
                      <w:snapToGrid w:val="0"/>
                      <w:spacing w:val="0"/>
                      <w:kern w:val="2"/>
                      <w:szCs w:val="21"/>
                    </w:rPr>
                    <w:t>生活垃圾</w:t>
                  </w:r>
                  <w:r>
                    <w:rPr>
                      <w:rFonts w:hint="eastAsia" w:eastAsia="宋体"/>
                      <w:snapToGrid w:val="0"/>
                      <w:spacing w:val="0"/>
                      <w:kern w:val="2"/>
                      <w:szCs w:val="21"/>
                    </w:rPr>
                    <w:t>125.7</w:t>
                  </w:r>
                  <w:r>
                    <w:rPr>
                      <w:rFonts w:eastAsia="宋体"/>
                      <w:snapToGrid w:val="0"/>
                      <w:spacing w:val="0"/>
                      <w:kern w:val="2"/>
                      <w:szCs w:val="21"/>
                    </w:rPr>
                    <w:t>t/a</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环卫部门处理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vMerge w:val="continue"/>
                  <w:shd w:val="clear" w:color="auto" w:fill="auto"/>
                  <w:vAlign w:val="center"/>
                </w:tcPr>
                <w:p>
                  <w:pPr>
                    <w:pStyle w:val="45"/>
                    <w:jc w:val="center"/>
                    <w:rPr>
                      <w:rFonts w:eastAsia="宋体"/>
                      <w:snapToGrid w:val="0"/>
                      <w:color w:val="000000"/>
                      <w:spacing w:val="0"/>
                      <w:kern w:val="2"/>
                      <w:szCs w:val="21"/>
                    </w:rPr>
                  </w:pPr>
                </w:p>
              </w:tc>
              <w:tc>
                <w:tcPr>
                  <w:tcW w:w="3685" w:type="dxa"/>
                  <w:shd w:val="clear" w:color="auto" w:fill="auto"/>
                  <w:vAlign w:val="center"/>
                </w:tcPr>
                <w:p>
                  <w:pPr>
                    <w:pStyle w:val="45"/>
                    <w:jc w:val="center"/>
                    <w:rPr>
                      <w:rFonts w:eastAsia="宋体"/>
                      <w:snapToGrid w:val="0"/>
                      <w:spacing w:val="0"/>
                      <w:kern w:val="2"/>
                      <w:szCs w:val="21"/>
                    </w:rPr>
                  </w:pPr>
                  <w:r>
                    <w:rPr>
                      <w:rFonts w:hint="eastAsia" w:eastAsia="宋体"/>
                      <w:snapToGrid w:val="0"/>
                      <w:spacing w:val="0"/>
                      <w:kern w:val="2"/>
                      <w:szCs w:val="21"/>
                    </w:rPr>
                    <w:t>办公垃圾0.15t/a</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收集后外售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vMerge w:val="continue"/>
                  <w:shd w:val="clear" w:color="auto" w:fill="auto"/>
                  <w:vAlign w:val="center"/>
                </w:tcPr>
                <w:p>
                  <w:pPr>
                    <w:pStyle w:val="45"/>
                    <w:jc w:val="center"/>
                    <w:rPr>
                      <w:rFonts w:eastAsia="宋体"/>
                      <w:snapToGrid w:val="0"/>
                      <w:color w:val="000000"/>
                      <w:spacing w:val="0"/>
                      <w:kern w:val="2"/>
                      <w:szCs w:val="21"/>
                    </w:rPr>
                  </w:pPr>
                </w:p>
              </w:tc>
              <w:tc>
                <w:tcPr>
                  <w:tcW w:w="3685" w:type="dxa"/>
                  <w:shd w:val="clear" w:color="auto" w:fill="auto"/>
                  <w:vAlign w:val="center"/>
                </w:tcPr>
                <w:p>
                  <w:pPr>
                    <w:pStyle w:val="45"/>
                    <w:jc w:val="center"/>
                    <w:rPr>
                      <w:rFonts w:hint="eastAsia" w:eastAsia="宋体"/>
                      <w:snapToGrid w:val="0"/>
                      <w:spacing w:val="0"/>
                      <w:kern w:val="2"/>
                      <w:szCs w:val="21"/>
                    </w:rPr>
                  </w:pPr>
                  <w:r>
                    <w:rPr>
                      <w:rFonts w:eastAsia="宋体"/>
                      <w:snapToGrid w:val="0"/>
                      <w:spacing w:val="0"/>
                      <w:kern w:val="2"/>
                      <w:szCs w:val="21"/>
                    </w:rPr>
                    <w:t>包装废弃物</w:t>
                  </w:r>
                  <w:r>
                    <w:rPr>
                      <w:rFonts w:hint="eastAsia" w:eastAsia="宋体"/>
                      <w:snapToGrid w:val="0"/>
                      <w:spacing w:val="0"/>
                      <w:kern w:val="2"/>
                      <w:szCs w:val="21"/>
                    </w:rPr>
                    <w:t>5.8t/a</w:t>
                  </w:r>
                </w:p>
              </w:tc>
              <w:tc>
                <w:tcPr>
                  <w:tcW w:w="2934" w:type="dxa"/>
                  <w:shd w:val="clear" w:color="auto" w:fill="auto"/>
                  <w:vAlign w:val="center"/>
                </w:tcPr>
                <w:p>
                  <w:pPr>
                    <w:pStyle w:val="45"/>
                    <w:jc w:val="center"/>
                    <w:rPr>
                      <w:rFonts w:eastAsia="宋体"/>
                      <w:snapToGrid w:val="0"/>
                      <w:color w:val="000000"/>
                      <w:spacing w:val="0"/>
                      <w:kern w:val="2"/>
                      <w:szCs w:val="21"/>
                    </w:rPr>
                  </w:pPr>
                  <w:r>
                    <w:rPr>
                      <w:rFonts w:eastAsia="宋体"/>
                      <w:snapToGrid w:val="0"/>
                      <w:color w:val="000000"/>
                      <w:spacing w:val="0"/>
                      <w:kern w:val="2"/>
                      <w:szCs w:val="21"/>
                    </w:rPr>
                    <w:t>收集后外售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82" w:type="dxa"/>
                  <w:vMerge w:val="continue"/>
                  <w:shd w:val="clear" w:color="auto" w:fill="auto"/>
                  <w:vAlign w:val="center"/>
                </w:tcPr>
                <w:p>
                  <w:pPr>
                    <w:pStyle w:val="45"/>
                    <w:jc w:val="center"/>
                    <w:rPr>
                      <w:rFonts w:eastAsia="宋体"/>
                      <w:snapToGrid w:val="0"/>
                      <w:color w:val="000000"/>
                      <w:spacing w:val="0"/>
                      <w:kern w:val="2"/>
                      <w:szCs w:val="21"/>
                    </w:rPr>
                  </w:pPr>
                </w:p>
              </w:tc>
              <w:tc>
                <w:tcPr>
                  <w:tcW w:w="1133" w:type="dxa"/>
                  <w:vMerge w:val="continue"/>
                  <w:shd w:val="clear" w:color="auto" w:fill="auto"/>
                  <w:vAlign w:val="center"/>
                </w:tcPr>
                <w:p>
                  <w:pPr>
                    <w:pStyle w:val="45"/>
                    <w:jc w:val="center"/>
                    <w:rPr>
                      <w:rFonts w:eastAsia="宋体"/>
                      <w:snapToGrid w:val="0"/>
                      <w:color w:val="000000"/>
                      <w:spacing w:val="0"/>
                      <w:kern w:val="2"/>
                      <w:szCs w:val="21"/>
                    </w:rPr>
                  </w:pPr>
                </w:p>
              </w:tc>
              <w:tc>
                <w:tcPr>
                  <w:tcW w:w="3685" w:type="dxa"/>
                  <w:shd w:val="clear" w:color="auto" w:fill="auto"/>
                  <w:vAlign w:val="center"/>
                </w:tcPr>
                <w:p>
                  <w:pPr>
                    <w:spacing w:line="320" w:lineRule="exact"/>
                    <w:jc w:val="center"/>
                    <w:rPr>
                      <w:szCs w:val="21"/>
                    </w:rPr>
                  </w:pPr>
                  <w:r>
                    <w:rPr>
                      <w:rFonts w:hint="eastAsia"/>
                      <w:szCs w:val="21"/>
                    </w:rPr>
                    <w:t>废机油0.8 t/a</w:t>
                  </w:r>
                </w:p>
              </w:tc>
              <w:tc>
                <w:tcPr>
                  <w:tcW w:w="2934" w:type="dxa"/>
                  <w:shd w:val="clear" w:color="auto" w:fill="auto"/>
                  <w:vAlign w:val="center"/>
                </w:tcPr>
                <w:p>
                  <w:pPr>
                    <w:spacing w:line="320" w:lineRule="exact"/>
                    <w:jc w:val="center"/>
                    <w:rPr>
                      <w:szCs w:val="21"/>
                    </w:rPr>
                  </w:pPr>
                  <w:r>
                    <w:rPr>
                      <w:rFonts w:hint="eastAsia"/>
                      <w:szCs w:val="21"/>
                    </w:rPr>
                    <w:t>收集后委托有资质单位处理</w:t>
                  </w:r>
                </w:p>
              </w:tc>
            </w:tr>
          </w:tbl>
          <w:p>
            <w:pPr>
              <w:spacing w:line="360" w:lineRule="auto"/>
              <w:rPr>
                <w:b/>
                <w:sz w:val="24"/>
              </w:rPr>
            </w:pPr>
            <w:r>
              <w:rPr>
                <w:b/>
                <w:sz w:val="24"/>
              </w:rPr>
              <w:t>2.3、项目地理位置及平面布置：</w:t>
            </w:r>
          </w:p>
          <w:p>
            <w:pPr>
              <w:spacing w:line="360" w:lineRule="auto"/>
              <w:ind w:firstLine="480"/>
              <w:rPr>
                <w:sz w:val="24"/>
              </w:rPr>
            </w:pPr>
            <w:r>
              <w:rPr>
                <w:snapToGrid w:val="0"/>
                <w:color w:val="000000"/>
                <w:sz w:val="24"/>
              </w:rPr>
              <w:t>南京鼎邦网络科技有限公司雨花</w:t>
            </w:r>
            <w:r>
              <w:rPr>
                <w:sz w:val="24"/>
              </w:rPr>
              <w:t>物流自动化二期项目</w:t>
            </w:r>
            <w:r>
              <w:rPr>
                <w:rFonts w:hint="eastAsia"/>
                <w:sz w:val="24"/>
              </w:rPr>
              <w:t>位于</w:t>
            </w:r>
            <w:r>
              <w:rPr>
                <w:sz w:val="24"/>
              </w:rPr>
              <w:t>南京市雨花台区雨花经济开发区，龙藏大道以南、二号路以北、</w:t>
            </w:r>
            <w:r>
              <w:rPr>
                <w:rFonts w:hint="eastAsia"/>
                <w:sz w:val="24"/>
              </w:rPr>
              <w:t>苏宁</w:t>
            </w:r>
            <w:r>
              <w:rPr>
                <w:sz w:val="24"/>
              </w:rPr>
              <w:t>物流</w:t>
            </w:r>
            <w:r>
              <w:rPr>
                <w:rFonts w:hint="eastAsia"/>
                <w:sz w:val="24"/>
              </w:rPr>
              <w:t>中心</w:t>
            </w:r>
            <w:r>
              <w:rPr>
                <w:sz w:val="24"/>
              </w:rPr>
              <w:t>项目以西，项目地理位置详见附图1。</w:t>
            </w:r>
          </w:p>
          <w:p>
            <w:pPr>
              <w:spacing w:line="360" w:lineRule="auto"/>
              <w:ind w:firstLine="480"/>
              <w:rPr>
                <w:sz w:val="24"/>
              </w:rPr>
            </w:pPr>
            <w:r>
              <w:rPr>
                <w:sz w:val="24"/>
              </w:rPr>
              <w:t>项目北侧为龙藏大道，东侧隔园区道路为苏宁雨花物流项目，南侧隔龙飞路为金叶花园小区、正达公寓，西侧从北向南依次分布有南京领秀服饰有限公司、普天大唐信息电子公司、江苏华瑞泰科技股份有限公司及宝盛不锈钢有限公司。</w:t>
            </w:r>
            <w:r>
              <w:rPr>
                <w:snapToGrid w:val="0"/>
                <w:color w:val="000000"/>
                <w:sz w:val="24"/>
              </w:rPr>
              <w:t>项目四邻情况详见附图2。</w:t>
            </w:r>
          </w:p>
          <w:p>
            <w:pPr>
              <w:spacing w:line="360" w:lineRule="auto"/>
              <w:ind w:firstLine="480"/>
              <w:rPr>
                <w:rFonts w:hint="eastAsia"/>
                <w:sz w:val="24"/>
              </w:rPr>
            </w:pPr>
            <w:r>
              <w:rPr>
                <w:sz w:val="24"/>
              </w:rPr>
              <w:t>项目地块呈不规则四边形，总用地面积约</w:t>
            </w:r>
            <w:r>
              <w:rPr>
                <w:snapToGrid w:val="0"/>
                <w:color w:val="000000"/>
                <w:sz w:val="24"/>
              </w:rPr>
              <w:t>396449</w:t>
            </w:r>
            <w:r>
              <w:rPr>
                <w:sz w:val="24"/>
              </w:rPr>
              <w:t>m</w:t>
            </w:r>
            <w:r>
              <w:rPr>
                <w:sz w:val="24"/>
                <w:vertAlign w:val="superscript"/>
              </w:rPr>
              <w:t>2</w:t>
            </w:r>
            <w:r>
              <w:rPr>
                <w:sz w:val="24"/>
              </w:rPr>
              <w:t>。主要建设</w:t>
            </w:r>
            <w:r>
              <w:rPr>
                <w:snapToGrid w:val="0"/>
                <w:color w:val="000000"/>
                <w:sz w:val="24"/>
              </w:rPr>
              <w:t>新建</w:t>
            </w:r>
            <w:r>
              <w:rPr>
                <w:rFonts w:hint="eastAsia"/>
                <w:snapToGrid w:val="0"/>
                <w:color w:val="000000"/>
                <w:sz w:val="24"/>
              </w:rPr>
              <w:t>分拣</w:t>
            </w:r>
            <w:r>
              <w:rPr>
                <w:snapToGrid w:val="0"/>
                <w:color w:val="000000"/>
                <w:sz w:val="24"/>
              </w:rPr>
              <w:t>中心、仓储仓库、</w:t>
            </w:r>
            <w:r>
              <w:rPr>
                <w:rFonts w:hint="eastAsia"/>
                <w:snapToGrid w:val="0"/>
                <w:color w:val="000000"/>
                <w:sz w:val="24"/>
              </w:rPr>
              <w:t>分拣中心、</w:t>
            </w:r>
            <w:r>
              <w:rPr>
                <w:snapToGrid w:val="0"/>
                <w:color w:val="000000"/>
                <w:sz w:val="24"/>
              </w:rPr>
              <w:t>研发</w:t>
            </w:r>
            <w:r>
              <w:rPr>
                <w:rFonts w:hint="eastAsia"/>
                <w:snapToGrid w:val="0"/>
                <w:color w:val="000000"/>
                <w:sz w:val="24"/>
              </w:rPr>
              <w:t>办公楼</w:t>
            </w:r>
            <w:r>
              <w:rPr>
                <w:snapToGrid w:val="0"/>
                <w:color w:val="000000"/>
                <w:sz w:val="24"/>
              </w:rPr>
              <w:t>等</w:t>
            </w:r>
            <w:r>
              <w:rPr>
                <w:sz w:val="24"/>
              </w:rPr>
              <w:t>，总建筑面积约</w:t>
            </w:r>
            <w:r>
              <w:rPr>
                <w:snapToGrid w:val="0"/>
                <w:color w:val="000000"/>
                <w:sz w:val="24"/>
              </w:rPr>
              <w:t>516562.44</w:t>
            </w:r>
            <w:r>
              <w:rPr>
                <w:sz w:val="24"/>
              </w:rPr>
              <w:t>m</w:t>
            </w:r>
            <w:r>
              <w:rPr>
                <w:sz w:val="24"/>
                <w:vertAlign w:val="superscript"/>
              </w:rPr>
              <w:t>2</w:t>
            </w:r>
            <w:r>
              <w:rPr>
                <w:sz w:val="24"/>
              </w:rPr>
              <w:t>。项目共建设仓储仓库</w:t>
            </w:r>
            <w:r>
              <w:rPr>
                <w:rFonts w:hint="eastAsia"/>
                <w:sz w:val="24"/>
              </w:rPr>
              <w:t>4座，仓库</w:t>
            </w:r>
            <w:r>
              <w:rPr>
                <w:sz w:val="24"/>
              </w:rPr>
              <w:t>分布在地块北部及中部，靠近各个货车出入口。分拣中心位于地块中部偏东的位置。</w:t>
            </w:r>
          </w:p>
          <w:p>
            <w:pPr>
              <w:spacing w:line="360" w:lineRule="auto"/>
              <w:ind w:firstLine="480"/>
              <w:rPr>
                <w:rFonts w:hint="eastAsia"/>
                <w:sz w:val="24"/>
              </w:rPr>
            </w:pPr>
            <w:r>
              <w:rPr>
                <w:sz w:val="24"/>
              </w:rPr>
              <w:t>项目研发</w:t>
            </w:r>
            <w:r>
              <w:rPr>
                <w:rFonts w:hint="eastAsia"/>
                <w:sz w:val="24"/>
              </w:rPr>
              <w:t>办公楼</w:t>
            </w:r>
            <w:r>
              <w:rPr>
                <w:sz w:val="24"/>
              </w:rPr>
              <w:t>位于地块的</w:t>
            </w:r>
            <w:r>
              <w:rPr>
                <w:rFonts w:hint="eastAsia"/>
                <w:sz w:val="24"/>
              </w:rPr>
              <w:t>北部及</w:t>
            </w:r>
            <w:r>
              <w:rPr>
                <w:sz w:val="24"/>
              </w:rPr>
              <w:t>西南侧</w:t>
            </w:r>
            <w:r>
              <w:rPr>
                <w:rFonts w:hint="eastAsia"/>
                <w:sz w:val="24"/>
              </w:rPr>
              <w:t>，本项目研发楼主要功能为物流配送研发办公用房，包括物流软件研发、网站维护、数据中心及资料库，无工业生产，不建设食堂</w:t>
            </w:r>
            <w:r>
              <w:rPr>
                <w:sz w:val="24"/>
              </w:rPr>
              <w:t>。</w:t>
            </w:r>
            <w:r>
              <w:rPr>
                <w:rFonts w:hint="eastAsia"/>
                <w:sz w:val="24"/>
              </w:rPr>
              <w:t>本项目研发办公用房均为建设单位专用，建成后不得将本项目研发办公用房分割转让（包括出售、交换和赠与）给与本项目用地类型及研发内容不相符的企业或机构。</w:t>
            </w:r>
          </w:p>
          <w:p>
            <w:pPr>
              <w:spacing w:line="360" w:lineRule="auto"/>
              <w:ind w:firstLine="480"/>
              <w:rPr>
                <w:rFonts w:hint="eastAsia"/>
                <w:sz w:val="24"/>
              </w:rPr>
            </w:pPr>
            <w:r>
              <w:rPr>
                <w:sz w:val="24"/>
              </w:rPr>
              <w:t>项目货车出入口设置在北侧龙藏大道、西侧及东侧园区道路各三处，厂区绿化分“点、线、块”布置。厂区围墙四周、车间周围应结合防尘、减噪、美化环境等功能进行，</w:t>
            </w:r>
            <w:r>
              <w:rPr>
                <w:rFonts w:hint="eastAsia"/>
                <w:sz w:val="24"/>
              </w:rPr>
              <w:t>绿化植物</w:t>
            </w:r>
            <w:r>
              <w:rPr>
                <w:sz w:val="24"/>
              </w:rPr>
              <w:t>以美化环境为主，种植花草。综上，项目总平面布置功能分区合理，可以满足生产及物流、人流、消防等需要，总平面布置合理，详见附图3。</w:t>
            </w: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480"/>
              <w:rPr>
                <w:snapToGrid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jc w:val="center"/>
        </w:trPr>
        <w:tc>
          <w:tcPr>
            <w:tcW w:w="8560" w:type="dxa"/>
            <w:vAlign w:val="top"/>
          </w:tcPr>
          <w:p>
            <w:pPr>
              <w:spacing w:line="360" w:lineRule="auto"/>
              <w:rPr>
                <w:rFonts w:eastAsia="黑体"/>
                <w:b/>
                <w:color w:val="000000"/>
                <w:sz w:val="24"/>
              </w:rPr>
            </w:pPr>
            <w:r>
              <w:rPr>
                <w:rFonts w:eastAsia="黑体"/>
                <w:b/>
                <w:color w:val="000000"/>
                <w:sz w:val="24"/>
              </w:rPr>
              <w:t>与本项目有关的原有污染情况及主要环境问题：</w:t>
            </w:r>
          </w:p>
          <w:p>
            <w:pPr>
              <w:spacing w:line="360" w:lineRule="auto"/>
              <w:rPr>
                <w:b/>
                <w:color w:val="000000"/>
                <w:sz w:val="24"/>
              </w:rPr>
            </w:pPr>
            <w:r>
              <w:rPr>
                <w:rFonts w:hint="eastAsia"/>
                <w:b/>
                <w:color w:val="000000"/>
                <w:sz w:val="24"/>
              </w:rPr>
              <w:t>无</w:t>
            </w:r>
          </w:p>
        </w:tc>
      </w:tr>
    </w:tbl>
    <w:p>
      <w:pPr>
        <w:outlineLvl w:val="0"/>
        <w:rPr>
          <w:rFonts w:eastAsia="黑体"/>
          <w:b/>
          <w:color w:val="000000"/>
          <w:sz w:val="24"/>
        </w:rPr>
      </w:pPr>
      <w:r>
        <w:rPr>
          <w:rFonts w:eastAsia="黑体"/>
          <w:color w:val="000000"/>
          <w:sz w:val="24"/>
        </w:rPr>
        <w:br w:type="page"/>
      </w:r>
      <w:r>
        <w:rPr>
          <w:rFonts w:eastAsia="黑体"/>
          <w:color w:val="000000"/>
          <w:sz w:val="24"/>
        </w:rPr>
        <w:t>3、</w:t>
      </w:r>
      <w:r>
        <w:rPr>
          <w:b/>
          <w:color w:val="000000"/>
          <w:sz w:val="24"/>
        </w:rPr>
        <w:t>建设项目所在地自然环境、社会环境简况</w:t>
      </w: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Layout w:type="fixed"/>
          <w:tblCellMar>
            <w:top w:w="0" w:type="dxa"/>
            <w:left w:w="108" w:type="dxa"/>
            <w:bottom w:w="0" w:type="dxa"/>
            <w:right w:w="108" w:type="dxa"/>
          </w:tblCellMar>
        </w:tblPrEx>
        <w:trPr>
          <w:trHeight w:val="2340" w:hRule="atLeast"/>
        </w:trPr>
        <w:tc>
          <w:tcPr>
            <w:tcW w:w="8522" w:type="dxa"/>
            <w:vAlign w:val="top"/>
          </w:tcPr>
          <w:p>
            <w:pPr>
              <w:spacing w:line="360" w:lineRule="auto"/>
              <w:rPr>
                <w:color w:val="000000"/>
                <w:sz w:val="24"/>
              </w:rPr>
            </w:pPr>
            <w:r>
              <w:rPr>
                <w:b/>
                <w:color w:val="000000"/>
                <w:sz w:val="24"/>
              </w:rPr>
              <w:t>自然环境简况（地形、地貌、地质、气候、气象、水文、植被、生物多样性等）</w:t>
            </w:r>
            <w:r>
              <w:rPr>
                <w:color w:val="000000"/>
                <w:sz w:val="24"/>
              </w:rPr>
              <w:t>：</w:t>
            </w:r>
          </w:p>
          <w:p>
            <w:pPr>
              <w:spacing w:line="360" w:lineRule="auto"/>
              <w:rPr>
                <w:b/>
                <w:color w:val="000000"/>
                <w:sz w:val="24"/>
              </w:rPr>
            </w:pPr>
            <w:r>
              <w:rPr>
                <w:b/>
                <w:color w:val="000000"/>
                <w:sz w:val="24"/>
              </w:rPr>
              <w:t>3.1、地形、地貌、地质</w:t>
            </w:r>
          </w:p>
          <w:p>
            <w:pPr>
              <w:snapToGrid w:val="0"/>
              <w:spacing w:line="360" w:lineRule="auto"/>
              <w:ind w:firstLine="480" w:firstLineChars="200"/>
              <w:rPr>
                <w:sz w:val="24"/>
              </w:rPr>
            </w:pPr>
            <w:r>
              <w:rPr>
                <w:sz w:val="24"/>
              </w:rPr>
              <w:t>南京，简称宁，是江苏省省会，全省政治、经济、科教和文化中心，长三角经济核心区的重要城市，国家重要的综合性交通枢纽和通信枢纽城市。2013年2月，经国务院批准和省政府批复同意，南京市行政区划调整，撤销秦淮区、白下区，以原两区所辖区域设立新的秦淮区；撤销鼓楼区、下关区，以原两区所辖区域设立新的鼓楼区；撤销溧水县，设立南京市溧水区；撤销高淳县，设立南京市高淳区。溧水、高淳均以原县的行政区域为新建区的行政区域。南京市由原来的11个区、2县调整为11个区。</w:t>
            </w:r>
          </w:p>
          <w:p>
            <w:pPr>
              <w:snapToGrid w:val="0"/>
              <w:spacing w:line="360" w:lineRule="auto"/>
              <w:ind w:firstLine="480" w:firstLineChars="200"/>
              <w:rPr>
                <w:sz w:val="24"/>
              </w:rPr>
            </w:pPr>
            <w:r>
              <w:rPr>
                <w:sz w:val="24"/>
              </w:rPr>
              <w:t>雨花台区位于南京市主城南部，是</w:t>
            </w:r>
            <w:r>
              <w:rPr>
                <w:sz w:val="24"/>
              </w:rPr>
              <w:fldChar w:fldCharType="begin"/>
            </w:r>
            <w:r>
              <w:rPr>
                <w:sz w:val="24"/>
              </w:rPr>
              <w:instrText xml:space="preserve"> HYPERLINK "http://baike.haosou.com/doc/6983693-7206433.html" \t "_blank" </w:instrText>
            </w:r>
            <w:r>
              <w:rPr>
                <w:sz w:val="24"/>
              </w:rPr>
              <w:fldChar w:fldCharType="separate"/>
            </w:r>
            <w:r>
              <w:rPr>
                <w:sz w:val="24"/>
              </w:rPr>
              <w:t>中国软件名城</w:t>
            </w:r>
            <w:r>
              <w:rPr>
                <w:sz w:val="24"/>
              </w:rPr>
              <w:fldChar w:fldCharType="end"/>
            </w:r>
            <w:r>
              <w:rPr>
                <w:sz w:val="24"/>
              </w:rPr>
              <w:t>的核心区，国家重要的软件产业和信息产业中心，中国第一软件产业基地，中国最大的通讯软件产业研发基地。已成功创建</w:t>
            </w:r>
            <w:r>
              <w:rPr>
                <w:sz w:val="24"/>
              </w:rPr>
              <w:fldChar w:fldCharType="begin"/>
            </w:r>
            <w:r>
              <w:rPr>
                <w:sz w:val="24"/>
              </w:rPr>
              <w:instrText xml:space="preserve"> HYPERLINK "http://baike.haosou.com/doc/6449958-6663641.html" \t "_blank" </w:instrText>
            </w:r>
            <w:r>
              <w:rPr>
                <w:sz w:val="24"/>
              </w:rPr>
              <w:fldChar w:fldCharType="separate"/>
            </w:r>
            <w:r>
              <w:rPr>
                <w:sz w:val="24"/>
              </w:rPr>
              <w:t>国家火炬计划</w:t>
            </w:r>
            <w:r>
              <w:rPr>
                <w:sz w:val="24"/>
              </w:rPr>
              <w:fldChar w:fldCharType="end"/>
            </w:r>
            <w:r>
              <w:rPr>
                <w:sz w:val="24"/>
              </w:rPr>
              <w:t>现代通信软件产业基地、国家数字出版基地、国家级科技企业孵化器、中国服务外包基地城市示范区、国家级服务业标准化试点区，并荣获"国家科技进步先进区"等称号。南京市雨花台区雨花经济开发区龙藏大道2号，北侧为龙藏大道、东北侧为苏宁雨花物流项目，南侧为龙飞路。</w:t>
            </w:r>
          </w:p>
          <w:p>
            <w:pPr>
              <w:pStyle w:val="66"/>
              <w:snapToGrid w:val="0"/>
              <w:spacing w:line="360" w:lineRule="auto"/>
              <w:rPr>
                <w:rFonts w:cs="Times New Roman"/>
                <w:szCs w:val="28"/>
              </w:rPr>
            </w:pPr>
            <w:r>
              <w:rPr>
                <w:rFonts w:cs="Times New Roman"/>
                <w:szCs w:val="28"/>
              </w:rPr>
              <w:t>南京市是江苏省低山、丘陵集中分布的主要区域之一，是低山、岗地、河谷平原、滨湖平原和沿江洲地等地形单元构成的地貌综合体。境内绵亘着宁镇山脉西段，长江横贯东西。境内无高山峻岭，高于海拔400m的低山有钟山、老山和横山。本地区主要处于第四级土层，在坳沟低耕土层下面，有一层厚度为4～13m的Q4亚粘土，其下为厚度为3～9m的Q3亚粘土，Q3土层下为强风化沙岩。</w:t>
            </w:r>
          </w:p>
          <w:p>
            <w:pPr>
              <w:snapToGrid w:val="0"/>
              <w:spacing w:line="360" w:lineRule="auto"/>
              <w:ind w:firstLine="480" w:firstLineChars="200"/>
              <w:rPr>
                <w:sz w:val="24"/>
                <w:szCs w:val="28"/>
              </w:rPr>
            </w:pPr>
            <w:r>
              <w:rPr>
                <w:sz w:val="24"/>
                <w:szCs w:val="28"/>
              </w:rPr>
              <w:t>建设项目所在地地形较平坦，地面高程除长江大堤及公路明显较高，其高程一般为11.15～11.70m(吴淞高程系，以下同)外，其它地段地面高程一般在6.8～7.5m之间</w:t>
            </w:r>
            <w:r>
              <w:rPr>
                <w:rFonts w:hint="eastAsia"/>
                <w:sz w:val="24"/>
                <w:szCs w:val="28"/>
              </w:rPr>
              <w:t>，</w:t>
            </w:r>
            <w:r>
              <w:rPr>
                <w:sz w:val="24"/>
                <w:szCs w:val="28"/>
              </w:rPr>
              <w:t>地貌单元属河漫滩。</w:t>
            </w:r>
          </w:p>
          <w:p>
            <w:pPr>
              <w:pStyle w:val="49"/>
              <w:ind w:firstLine="0" w:firstLineChars="0"/>
              <w:rPr>
                <w:b/>
                <w:color w:val="000000"/>
                <w:szCs w:val="24"/>
                <w:lang w:val="en-US" w:eastAsia="zh-CN"/>
              </w:rPr>
            </w:pPr>
            <w:r>
              <w:rPr>
                <w:b/>
                <w:color w:val="000000"/>
                <w:szCs w:val="24"/>
                <w:lang w:val="en-US" w:eastAsia="zh-CN"/>
              </w:rPr>
              <w:t>3.2、气候气象</w:t>
            </w:r>
          </w:p>
          <w:p>
            <w:pPr>
              <w:spacing w:line="360" w:lineRule="auto"/>
              <w:ind w:firstLine="480" w:firstLineChars="200"/>
              <w:rPr>
                <w:color w:val="000000"/>
                <w:sz w:val="24"/>
              </w:rPr>
            </w:pPr>
            <w:r>
              <w:rPr>
                <w:color w:val="000000"/>
                <w:sz w:val="24"/>
              </w:rPr>
              <w:t>项目所在地属于长江流域，地处北回归线以北，属北亚热带南部季风气候区。气候温和湿润，四季分明，光照充足，雨量充沛，无霜期长，雨热同期。</w:t>
            </w:r>
          </w:p>
          <w:p>
            <w:pPr>
              <w:spacing w:line="360" w:lineRule="auto"/>
              <w:ind w:firstLine="480" w:firstLineChars="200"/>
              <w:rPr>
                <w:color w:val="000000"/>
                <w:sz w:val="24"/>
              </w:rPr>
            </w:pPr>
            <w:r>
              <w:rPr>
                <w:color w:val="000000"/>
                <w:sz w:val="24"/>
              </w:rPr>
              <w:t>年平均气温15.3</w:t>
            </w:r>
            <w:r>
              <w:rPr>
                <w:rFonts w:hint="eastAsia" w:ascii="宋体" w:hAnsi="宋体" w:cs="宋体"/>
                <w:color w:val="000000"/>
                <w:sz w:val="24"/>
              </w:rPr>
              <w:t>℃</w:t>
            </w:r>
            <w:r>
              <w:rPr>
                <w:color w:val="000000"/>
                <w:sz w:val="24"/>
              </w:rPr>
              <w:t>，1月平均气温2.8</w:t>
            </w:r>
            <w:r>
              <w:rPr>
                <w:rFonts w:hint="eastAsia" w:ascii="宋体" w:hAnsi="宋体" w:cs="宋体"/>
                <w:color w:val="000000"/>
                <w:sz w:val="24"/>
              </w:rPr>
              <w:t>℃</w:t>
            </w:r>
            <w:r>
              <w:rPr>
                <w:color w:val="000000"/>
                <w:sz w:val="24"/>
              </w:rPr>
              <w:t>，7月平均气温27.7</w:t>
            </w:r>
            <w:r>
              <w:rPr>
                <w:rFonts w:hint="eastAsia" w:ascii="宋体" w:hAnsi="宋体" w:cs="宋体"/>
                <w:color w:val="000000"/>
                <w:sz w:val="24"/>
              </w:rPr>
              <w:t>℃</w:t>
            </w:r>
            <w:r>
              <w:rPr>
                <w:color w:val="000000"/>
                <w:sz w:val="24"/>
              </w:rPr>
              <w:t>。极端最高气温37.9</w:t>
            </w:r>
            <w:r>
              <w:rPr>
                <w:rFonts w:hint="eastAsia" w:ascii="宋体" w:hAnsi="宋体" w:cs="宋体"/>
                <w:color w:val="000000"/>
                <w:sz w:val="24"/>
              </w:rPr>
              <w:t>℃</w:t>
            </w:r>
            <w:r>
              <w:rPr>
                <w:color w:val="000000"/>
                <w:sz w:val="24"/>
              </w:rPr>
              <w:t>(1978年7月8日)，年极端最低气温零下11.7</w:t>
            </w:r>
            <w:r>
              <w:rPr>
                <w:rFonts w:hint="eastAsia" w:ascii="宋体" w:hAnsi="宋体" w:cs="宋体"/>
                <w:color w:val="000000"/>
                <w:sz w:val="24"/>
              </w:rPr>
              <w:t>℃</w:t>
            </w:r>
            <w:r>
              <w:rPr>
                <w:color w:val="000000"/>
                <w:sz w:val="24"/>
              </w:rPr>
              <w:t>(1977年1月31日)。</w:t>
            </w:r>
          </w:p>
          <w:p>
            <w:pPr>
              <w:spacing w:line="360" w:lineRule="auto"/>
              <w:ind w:firstLine="480" w:firstLineChars="200"/>
              <w:rPr>
                <w:color w:val="000000"/>
                <w:sz w:val="24"/>
              </w:rPr>
            </w:pPr>
            <w:r>
              <w:rPr>
                <w:color w:val="000000"/>
                <w:sz w:val="24"/>
              </w:rPr>
              <w:t>降水主要集中在夏季，次在春季，地区间差异较小。年平均雨量1063.7毫米，最多年份1576毫米(1960年)，最少年份672.9毫米(1978年)，超过1000毫米的年份有14年，占总年数的48%。年平均雨日127.3天，最多达150天(1977年)，最少96天(1991年)。历年平均年蒸发量1338.5毫米，大于年雨量的25.8%。</w:t>
            </w:r>
          </w:p>
          <w:p>
            <w:pPr>
              <w:spacing w:line="360" w:lineRule="auto"/>
              <w:ind w:firstLine="480" w:firstLineChars="200"/>
              <w:rPr>
                <w:color w:val="000000"/>
                <w:sz w:val="24"/>
              </w:rPr>
            </w:pPr>
            <w:r>
              <w:rPr>
                <w:color w:val="000000"/>
                <w:sz w:val="24"/>
              </w:rPr>
              <w:t>年平均日照时数2165.2小时，为可照时数的49%，最多年份2460.7小时(1978年)，占可照时数的56%。</w:t>
            </w:r>
          </w:p>
          <w:p>
            <w:pPr>
              <w:spacing w:line="360" w:lineRule="auto"/>
              <w:ind w:firstLine="480" w:firstLineChars="200"/>
              <w:rPr>
                <w:color w:val="000000"/>
                <w:sz w:val="24"/>
              </w:rPr>
            </w:pPr>
            <w:r>
              <w:rPr>
                <w:color w:val="000000"/>
                <w:sz w:val="24"/>
              </w:rPr>
              <w:t>年平均风速3.6米/秒，3、4月较大，9、10月较小。最大风速19米/秒(1972年)。</w:t>
            </w:r>
          </w:p>
          <w:p>
            <w:pPr>
              <w:spacing w:line="360" w:lineRule="auto"/>
              <w:rPr>
                <w:color w:val="000000"/>
                <w:sz w:val="24"/>
              </w:rPr>
            </w:pPr>
            <w:r>
              <w:rPr>
                <w:color w:val="000000"/>
                <w:sz w:val="24"/>
              </w:rPr>
              <w:t xml:space="preserve">    年平均初霜日为11月15日，终霜日为3月30日，全年无霜期229天，最长256天(1977年)，最短199天(1979年)。</w:t>
            </w:r>
          </w:p>
          <w:p>
            <w:pPr>
              <w:pStyle w:val="49"/>
              <w:ind w:firstLine="0" w:firstLineChars="0"/>
              <w:rPr>
                <w:b/>
                <w:color w:val="000000"/>
                <w:szCs w:val="24"/>
                <w:lang w:val="en-US" w:eastAsia="zh-CN"/>
              </w:rPr>
            </w:pPr>
            <w:r>
              <w:rPr>
                <w:b/>
                <w:color w:val="000000"/>
                <w:szCs w:val="24"/>
                <w:lang w:val="en-US" w:eastAsia="zh-CN"/>
              </w:rPr>
              <w:t>3.3、水文、水系</w:t>
            </w:r>
          </w:p>
          <w:p>
            <w:pPr>
              <w:pStyle w:val="66"/>
              <w:snapToGrid w:val="0"/>
              <w:spacing w:line="360" w:lineRule="auto"/>
              <w:rPr>
                <w:rFonts w:cs="Times New Roman"/>
                <w:kern w:val="0"/>
              </w:rPr>
            </w:pPr>
            <w:r>
              <w:rPr>
                <w:rFonts w:cs="Times New Roman"/>
                <w:kern w:val="0"/>
              </w:rPr>
              <w:t>建设项目地处长江新济洲尾至梅子洲头之间河段的右岸，距下游下关水位站约20km，距上游大通水文站226km，属于长江流域，另外建设项目附近主要河流还有板桥河，其为流向长江的内河。</w:t>
            </w:r>
          </w:p>
          <w:p>
            <w:pPr>
              <w:pStyle w:val="66"/>
              <w:snapToGrid w:val="0"/>
              <w:spacing w:line="360" w:lineRule="auto"/>
              <w:rPr>
                <w:rFonts w:cs="Times New Roman"/>
              </w:rPr>
            </w:pPr>
            <w:r>
              <w:rPr>
                <w:rFonts w:cs="Times New Roman"/>
              </w:rPr>
              <w:t>（1）长江</w:t>
            </w:r>
          </w:p>
          <w:p>
            <w:pPr>
              <w:pStyle w:val="66"/>
              <w:snapToGrid w:val="0"/>
              <w:spacing w:line="360" w:lineRule="auto"/>
              <w:rPr>
                <w:rFonts w:cs="Times New Roman"/>
              </w:rPr>
            </w:pPr>
            <w:r>
              <w:rPr>
                <w:rFonts w:cs="Times New Roman"/>
              </w:rPr>
              <w:t>项目拟建地以北为长江新生圩江段，本江段为感潮江段，年平均流量约28600立方米/秒。枯水发期与常年水量比为0.89：1，年均潮差0.57米，最大潮位差1.56米。洪水期最大流速3.39米/秒，平水期流速1.0米/秒，平均流速1.1-1.4米/秒。水面比降高水位时为万分之零点二，低水位时为万分之零点三。</w:t>
            </w:r>
          </w:p>
          <w:p>
            <w:pPr>
              <w:adjustRightInd w:val="0"/>
              <w:snapToGrid w:val="0"/>
              <w:spacing w:line="360" w:lineRule="auto"/>
              <w:ind w:firstLine="420" w:firstLineChars="200"/>
              <w:rPr>
                <w:kern w:val="0"/>
                <w:sz w:val="24"/>
              </w:rPr>
            </w:pPr>
            <w:r>
              <w:t>（2）</w:t>
            </w:r>
            <w:r>
              <w:rPr>
                <w:kern w:val="0"/>
                <w:sz w:val="24"/>
              </w:rPr>
              <w:t>板桥河</w:t>
            </w:r>
          </w:p>
          <w:p>
            <w:pPr>
              <w:adjustRightInd w:val="0"/>
              <w:snapToGrid w:val="0"/>
              <w:spacing w:line="360" w:lineRule="auto"/>
              <w:ind w:firstLine="480" w:firstLineChars="200"/>
              <w:rPr>
                <w:kern w:val="0"/>
                <w:sz w:val="24"/>
              </w:rPr>
            </w:pPr>
            <w:r>
              <w:rPr>
                <w:kern w:val="0"/>
                <w:sz w:val="24"/>
              </w:rPr>
              <w:t>板桥河起源于江宁县的谷里，河水来自谷里、关溏等三个水库及丘陵山区和圩区的积水，全长15km，流域面积120 km</w:t>
            </w:r>
            <w:r>
              <w:rPr>
                <w:kern w:val="0"/>
                <w:sz w:val="24"/>
                <w:vertAlign w:val="superscript"/>
              </w:rPr>
              <w:t>2</w:t>
            </w:r>
            <w:r>
              <w:rPr>
                <w:kern w:val="0"/>
                <w:sz w:val="24"/>
              </w:rPr>
              <w:t>。最大流量800m</w:t>
            </w:r>
            <w:r>
              <w:rPr>
                <w:kern w:val="0"/>
                <w:sz w:val="24"/>
                <w:vertAlign w:val="superscript"/>
              </w:rPr>
              <w:t>3</w:t>
            </w:r>
            <w:r>
              <w:rPr>
                <w:kern w:val="0"/>
                <w:sz w:val="24"/>
              </w:rPr>
              <w:t>/s，在入江口前1.52km设有节制闸，用于控制河水水位。板桥河水域功能为防洪排涝和农田灌溉。</w:t>
            </w:r>
          </w:p>
          <w:p>
            <w:pPr>
              <w:pStyle w:val="49"/>
              <w:ind w:firstLine="0" w:firstLineChars="0"/>
              <w:rPr>
                <w:b/>
                <w:color w:val="000000"/>
                <w:szCs w:val="24"/>
                <w:lang w:val="en-US" w:eastAsia="zh-CN"/>
              </w:rPr>
            </w:pPr>
            <w:r>
              <w:rPr>
                <w:b/>
                <w:color w:val="000000"/>
                <w:szCs w:val="24"/>
                <w:lang w:val="en-US" w:eastAsia="zh-CN"/>
              </w:rPr>
              <w:t>3.4、生态环境</w:t>
            </w:r>
          </w:p>
          <w:p>
            <w:pPr>
              <w:pStyle w:val="66"/>
              <w:snapToGrid w:val="0"/>
              <w:spacing w:line="360" w:lineRule="auto"/>
              <w:rPr>
                <w:rFonts w:cs="Times New Roman"/>
              </w:rPr>
            </w:pPr>
            <w:r>
              <w:rPr>
                <w:rFonts w:cs="Times New Roman"/>
              </w:rPr>
              <w:t>南京市地形复杂，低山、丘陵、岗地、平原、洲地兼有，野生植物资源丰富。</w:t>
            </w:r>
          </w:p>
          <w:p>
            <w:pPr>
              <w:pStyle w:val="66"/>
              <w:snapToGrid w:val="0"/>
              <w:spacing w:line="360" w:lineRule="auto"/>
              <w:rPr>
                <w:rFonts w:cs="Times New Roman"/>
              </w:rPr>
            </w:pPr>
            <w:r>
              <w:rPr>
                <w:rFonts w:cs="Times New Roman"/>
              </w:rPr>
              <w:t>药用植物区内野生药用植物达790多种。</w:t>
            </w:r>
          </w:p>
          <w:p>
            <w:pPr>
              <w:pStyle w:val="66"/>
              <w:snapToGrid w:val="0"/>
              <w:spacing w:line="360" w:lineRule="auto"/>
              <w:rPr>
                <w:rFonts w:cs="Times New Roman"/>
              </w:rPr>
            </w:pPr>
            <w:r>
              <w:rPr>
                <w:rFonts w:cs="Times New Roman"/>
              </w:rPr>
              <w:t>纤维植物主要有柳、化香、榆、桑、构、苎麻、野葛、紫藤、南蛇藤、茶条、蓉麻、芦竹、芦苇、白茅、蒲、野灯芯草等。</w:t>
            </w:r>
          </w:p>
          <w:p>
            <w:pPr>
              <w:pStyle w:val="66"/>
              <w:snapToGrid w:val="0"/>
              <w:spacing w:line="360" w:lineRule="auto"/>
              <w:rPr>
                <w:rFonts w:cs="Times New Roman"/>
              </w:rPr>
            </w:pPr>
            <w:r>
              <w:rPr>
                <w:rFonts w:cs="Times New Roman"/>
              </w:rPr>
              <w:t>淀粉植物以栓皮栎、麻栎、白栎、菝葜、芡、菱、括楼、野燕麦、百合、土伏苓、山慈菇、石蒜、贯众等为主。</w:t>
            </w:r>
          </w:p>
          <w:p>
            <w:pPr>
              <w:pStyle w:val="66"/>
              <w:snapToGrid w:val="0"/>
              <w:spacing w:line="360" w:lineRule="auto"/>
              <w:rPr>
                <w:rFonts w:cs="Times New Roman"/>
              </w:rPr>
            </w:pPr>
            <w:r>
              <w:rPr>
                <w:rFonts w:cs="Times New Roman"/>
              </w:rPr>
              <w:t>油脂植物以山胡椒、乌桕、白叶野桐、野梧桐、木腊、算盘子、狭叶山胡椒等为主，多为工业用油脂植物。</w:t>
            </w:r>
          </w:p>
          <w:p>
            <w:pPr>
              <w:pStyle w:val="66"/>
              <w:snapToGrid w:val="0"/>
              <w:spacing w:line="360" w:lineRule="auto"/>
              <w:rPr>
                <w:rFonts w:cs="Times New Roman"/>
              </w:rPr>
            </w:pPr>
            <w:r>
              <w:rPr>
                <w:rFonts w:cs="Times New Roman"/>
              </w:rPr>
              <w:t>芳香植物主要有山胡椒、狭叶山胡椒、石竹、藿香、薄荷黄花蒿、艾蒿、茵陈蒿、野菊等，所提取的芳香油，供化妆、制皂、食品和医药用。</w:t>
            </w:r>
          </w:p>
          <w:p>
            <w:pPr>
              <w:pStyle w:val="66"/>
              <w:snapToGrid w:val="0"/>
              <w:spacing w:line="360" w:lineRule="auto"/>
              <w:rPr>
                <w:rFonts w:cs="Times New Roman"/>
              </w:rPr>
            </w:pPr>
            <w:r>
              <w:rPr>
                <w:rFonts w:cs="Times New Roman"/>
              </w:rPr>
              <w:t>树脂树胶植物树脂植物主要有马尾松、黑松、枫香、野漆树等，树胶植物有臭椿、皂荚、乌蔹莓、石蒜等。</w:t>
            </w:r>
          </w:p>
          <w:p>
            <w:pPr>
              <w:pStyle w:val="66"/>
              <w:snapToGrid w:val="0"/>
              <w:spacing w:line="360" w:lineRule="auto"/>
              <w:rPr>
                <w:rFonts w:cs="Times New Roman"/>
              </w:rPr>
            </w:pPr>
            <w:r>
              <w:rPr>
                <w:rFonts w:cs="Times New Roman"/>
              </w:rPr>
              <w:t>保健植物有野山楂、悬钩子、金樱子、胡颓子、牛奶子、君迁子等。</w:t>
            </w:r>
          </w:p>
          <w:p>
            <w:pPr>
              <w:pStyle w:val="66"/>
              <w:snapToGrid w:val="0"/>
              <w:spacing w:line="360" w:lineRule="auto"/>
              <w:rPr>
                <w:rFonts w:cs="Times New Roman"/>
              </w:rPr>
            </w:pPr>
            <w:r>
              <w:rPr>
                <w:rFonts w:cs="Times New Roman"/>
              </w:rPr>
              <w:t>野生动物资源据中国动物地理区划，栖霞区的动物区系属东洋界中印亚界华中区东部丘陵平原亚区。在生态地理动物群方面，属亚热带林灌、草地-农田动物群。牙獐原为长江中下游地区有蹄类的优势种，扬子鳄、白鳍豚、江豚、中华鲟等为特有动物，已少见。</w:t>
            </w:r>
          </w:p>
          <w:p>
            <w:pPr>
              <w:pStyle w:val="66"/>
              <w:snapToGrid w:val="0"/>
              <w:spacing w:line="360" w:lineRule="auto"/>
              <w:rPr>
                <w:rFonts w:cs="Times New Roman"/>
              </w:rPr>
            </w:pPr>
            <w:r>
              <w:rPr>
                <w:rFonts w:cs="Times New Roman"/>
              </w:rPr>
              <w:t>鱼类据不完全统计，栖霞区有鱼类18种。长江干流或支流中，有中华鲟、鲥鱼、长颌鲚、白鲟、刀鱼、银鱼、鳗鲡、棒花鱼、蛇鲍、南云马口鱼、青鱼、草鱼、短尾鱼白、翘嘴红鱼白、银飘鱼、逆鱼、大鳞泥鳅、刺鳅。</w:t>
            </w:r>
          </w:p>
          <w:p>
            <w:pPr>
              <w:pStyle w:val="66"/>
              <w:snapToGrid w:val="0"/>
              <w:spacing w:line="360" w:lineRule="auto"/>
              <w:rPr>
                <w:rFonts w:cs="Times New Roman"/>
              </w:rPr>
            </w:pPr>
            <w:r>
              <w:rPr>
                <w:rFonts w:cs="Times New Roman"/>
              </w:rPr>
              <w:t>爬行类有大头乌龟、乌龟、黄喉水龟、鳖、石龙子、北草晰、赤链蛇、双斑锦蛇、黑背蛇、虎斑游蛇、乌梢蛇、蝮蛇、丽效蛇、扬子鳄。</w:t>
            </w:r>
          </w:p>
          <w:p>
            <w:pPr>
              <w:pStyle w:val="66"/>
              <w:snapToGrid w:val="0"/>
              <w:spacing w:line="360" w:lineRule="auto"/>
              <w:rPr>
                <w:rFonts w:cs="Times New Roman"/>
              </w:rPr>
            </w:pPr>
            <w:r>
              <w:rPr>
                <w:rFonts w:cs="Times New Roman"/>
              </w:rPr>
              <w:t>哺乳类有大蹄蝠、菊头蝠、黄鼬、鼬獾、猪獾、狗獾、大灵猫、豹猫、狐、田鼠、豪猪、河狸、野兔、牙獐、江豚、白鳍豚、刺猬。</w:t>
            </w:r>
          </w:p>
          <w:p>
            <w:pPr>
              <w:pStyle w:val="66"/>
              <w:snapToGrid w:val="0"/>
              <w:spacing w:line="360" w:lineRule="auto"/>
              <w:rPr>
                <w:rFonts w:cs="Times New Roman"/>
              </w:rPr>
            </w:pPr>
            <w:r>
              <w:rPr>
                <w:rFonts w:cs="Times New Roman"/>
              </w:rPr>
              <w:t>项目所在地附近无珍稀野生动植物分布。</w:t>
            </w:r>
          </w:p>
          <w:p>
            <w:pPr>
              <w:spacing w:line="360" w:lineRule="auto"/>
              <w:rPr>
                <w:b/>
                <w:color w:val="000000"/>
                <w:sz w:val="24"/>
              </w:rPr>
            </w:pPr>
            <w:r>
              <w:rPr>
                <w:b/>
                <w:color w:val="000000"/>
                <w:sz w:val="24"/>
              </w:rPr>
              <w:t>3.5、社会环境简况（社会经济结构、教育、文化、文物保护等）：</w:t>
            </w:r>
          </w:p>
          <w:p>
            <w:pPr>
              <w:pStyle w:val="66"/>
              <w:snapToGrid w:val="0"/>
              <w:spacing w:line="360" w:lineRule="auto"/>
              <w:rPr>
                <w:rFonts w:cs="Times New Roman"/>
              </w:rPr>
            </w:pPr>
            <w:r>
              <w:rPr>
                <w:rFonts w:cs="Times New Roman"/>
              </w:rPr>
              <w:t>南京市下辖11个区，共设有81个街道办事处、19个镇。其中位于长江以南的玄武区、鼓楼区、建邺区、秦淮区、雨花台区、栖霞区、江宁区7个市辖区全部由街道办事处组成。位于长江以北的浦口区和六合区各有7至10个街道办事处并有若干镇。新设的溧水区和高淳区，各包括8个镇。</w:t>
            </w:r>
          </w:p>
          <w:p>
            <w:pPr>
              <w:pStyle w:val="66"/>
              <w:snapToGrid w:val="0"/>
              <w:spacing w:line="360" w:lineRule="auto"/>
              <w:rPr>
                <w:rFonts w:cs="Times New Roman"/>
              </w:rPr>
            </w:pPr>
            <w:r>
              <w:rPr>
                <w:rFonts w:cs="Times New Roman"/>
              </w:rPr>
              <w:t>项目所在南京市 雨花台区辖雨花开发区、板桥新城2个管委会和雨花、铁心桥、板桥、西善桥、赛虹桥、梅山6个街道办事处，53个社区居委会、11个村委会。面积134.6平方千米（不包含江域面积）。</w:t>
            </w:r>
          </w:p>
          <w:p>
            <w:pPr>
              <w:pStyle w:val="66"/>
              <w:snapToGrid w:val="0"/>
              <w:spacing w:line="360" w:lineRule="auto"/>
              <w:rPr>
                <w:rFonts w:cs="Times New Roman"/>
                <w:bCs/>
                <w:color w:val="000000"/>
              </w:rPr>
            </w:pPr>
            <w:r>
              <w:rPr>
                <w:rFonts w:cs="Times New Roman"/>
              </w:rPr>
              <w:t>2014年全区实现地区生产总值685.25亿元，按可比价格计算，同比增长12.4%。其中：第一产业实现增加值6.65亿元，同比下降5.5%；第二产业实现增加值467.78亿元，同比增长12.6%；第三产业实现增加值210.81亿元，同比增长12.6%。三次产业结构比例进一步优化为0.97:68.27:30.76。其中，第三产业增加值占地区生产总值比重比上年提高2.51个百分点。</w:t>
            </w:r>
          </w:p>
          <w:p>
            <w:pPr>
              <w:spacing w:line="360" w:lineRule="auto"/>
              <w:rPr>
                <w:b/>
                <w:bCs/>
                <w:color w:val="000000"/>
                <w:sz w:val="24"/>
              </w:rPr>
            </w:pPr>
            <w:r>
              <w:rPr>
                <w:b/>
                <w:bCs/>
                <w:color w:val="000000"/>
                <w:sz w:val="24"/>
              </w:rPr>
              <w:t>3.6、中国（南京）软件谷西片区控制性详细规划</w:t>
            </w:r>
          </w:p>
          <w:p>
            <w:pPr>
              <w:adjustRightInd w:val="0"/>
              <w:snapToGrid w:val="0"/>
              <w:spacing w:line="360" w:lineRule="auto"/>
              <w:ind w:firstLine="482" w:firstLineChars="200"/>
              <w:rPr>
                <w:b/>
                <w:color w:val="000000"/>
                <w:sz w:val="24"/>
              </w:rPr>
            </w:pPr>
            <w:r>
              <w:rPr>
                <w:b/>
                <w:color w:val="000000"/>
                <w:sz w:val="24"/>
              </w:rPr>
              <w:t>(1)规划范围：</w:t>
            </w:r>
          </w:p>
          <w:p>
            <w:pPr>
              <w:pStyle w:val="66"/>
              <w:snapToGrid w:val="0"/>
              <w:spacing w:line="360" w:lineRule="auto"/>
              <w:rPr>
                <w:rFonts w:cs="Times New Roman"/>
              </w:rPr>
            </w:pPr>
            <w:r>
              <w:rPr>
                <w:rFonts w:cs="Times New Roman"/>
              </w:rPr>
              <w:t>中国（南京）软件谷西片区规划范围西、北至长江、秦淮新河，南至三山矶路，东至板桥大道、宁芜路、管道路、梅苑南路一线，规划用地总面积约为2945.56公顷。</w:t>
            </w:r>
          </w:p>
          <w:p>
            <w:pPr>
              <w:adjustRightInd w:val="0"/>
              <w:snapToGrid w:val="0"/>
              <w:spacing w:line="360" w:lineRule="auto"/>
              <w:ind w:firstLine="482" w:firstLineChars="200"/>
              <w:rPr>
                <w:b/>
                <w:color w:val="000000"/>
                <w:sz w:val="24"/>
              </w:rPr>
            </w:pPr>
            <w:r>
              <w:rPr>
                <w:b/>
                <w:color w:val="000000"/>
                <w:sz w:val="24"/>
              </w:rPr>
              <w:t>(2) 功能定位与发展规模</w:t>
            </w:r>
          </w:p>
          <w:p>
            <w:pPr>
              <w:tabs>
                <w:tab w:val="left" w:pos="540"/>
              </w:tabs>
              <w:adjustRightInd w:val="0"/>
              <w:snapToGrid w:val="0"/>
              <w:spacing w:line="360" w:lineRule="auto"/>
              <w:ind w:firstLine="480" w:firstLineChars="200"/>
              <w:jc w:val="left"/>
              <w:rPr>
                <w:sz w:val="24"/>
              </w:rPr>
            </w:pPr>
            <w:r>
              <w:rPr>
                <w:rFonts w:hint="eastAsia"/>
                <w:sz w:val="24"/>
              </w:rPr>
              <w:t>中国（南京）软件谷共分为三大功能板块，即：北园（软件大道两侧区域）、南园（铁心桥地区）和西园（雨花经济开发区）。按照“高端化、国际化、品牌化”的发展思路，在三大功能板块中，围绕各自不同的主导产业，以“谷中园”、“园中园”、主题楼宇等形式，着力打造若干产业基地。</w:t>
            </w:r>
          </w:p>
          <w:p>
            <w:pPr>
              <w:tabs>
                <w:tab w:val="left" w:pos="540"/>
              </w:tabs>
              <w:adjustRightInd w:val="0"/>
              <w:snapToGrid w:val="0"/>
              <w:spacing w:line="360" w:lineRule="auto"/>
              <w:ind w:firstLine="482" w:firstLineChars="200"/>
              <w:jc w:val="left"/>
              <w:rPr>
                <w:rFonts w:hint="eastAsia"/>
                <w:sz w:val="24"/>
              </w:rPr>
            </w:pPr>
            <w:r>
              <w:rPr>
                <w:rFonts w:hint="eastAsia"/>
                <w:b/>
                <w:bCs/>
                <w:sz w:val="24"/>
              </w:rPr>
              <w:t>北园：</w:t>
            </w:r>
            <w:r>
              <w:rPr>
                <w:rFonts w:hint="eastAsia"/>
                <w:sz w:val="24"/>
              </w:rPr>
              <w:t>建设具有全球竞争力的中国通信软件产业第一基地和全省乃至全国领先的软件产业公共服务平台。以通信软件产业园、高端服务外包示范园、游戏动漫产业园、省软件产业公共技术服务中心、中小企业集聚发展中心等“三园两中心”为重点，依托华为、中兴、江苏润和、文思海辉等重点企业，以江苏赛联信息产业研究院、江苏虚拟软件园、江苏省软件检测中心等省级软件产业公共服务平台为载体，进一步巩固和强化通讯软件产业优势，提升在大型交换系统、数据网络、增值业务、下一代网络核心技术、通信解决方案等领域的核心价值。</w:t>
            </w:r>
          </w:p>
          <w:p>
            <w:pPr>
              <w:tabs>
                <w:tab w:val="left" w:pos="540"/>
              </w:tabs>
              <w:adjustRightInd w:val="0"/>
              <w:snapToGrid w:val="0"/>
              <w:spacing w:line="360" w:lineRule="auto"/>
              <w:ind w:firstLine="482" w:firstLineChars="200"/>
              <w:jc w:val="left"/>
              <w:rPr>
                <w:rFonts w:hint="eastAsia"/>
                <w:sz w:val="24"/>
              </w:rPr>
            </w:pPr>
            <w:r>
              <w:rPr>
                <w:rFonts w:hint="eastAsia"/>
                <w:b/>
                <w:bCs/>
                <w:sz w:val="24"/>
              </w:rPr>
              <w:t>南园：</w:t>
            </w:r>
            <w:r>
              <w:rPr>
                <w:rFonts w:hint="eastAsia"/>
                <w:sz w:val="24"/>
              </w:rPr>
              <w:t>建设国内一流的超级云计算技术研发中心、产业拓展基地和服务示范窗口。重点建设超级云计算服务产业园、物联网产业园、移动互联网产业园、三网融合产业园、信息安全产业园、下一代移动通信产业园、高端企业总部园、E-CBD区等产业基地，聚焦发展超级云计算技术研发和应用服务，完善集云计算基础设施、技术研发、系统集成、硬件产品制造、软件支持服务、市场运营等为一体的产业体系，加快云计算技术在电子政务、企业信息化、工业设计、移动支付、信息安全等重点领域的推广应用。</w:t>
            </w:r>
          </w:p>
          <w:p>
            <w:pPr>
              <w:tabs>
                <w:tab w:val="left" w:pos="540"/>
              </w:tabs>
              <w:adjustRightInd w:val="0"/>
              <w:snapToGrid w:val="0"/>
              <w:spacing w:line="360" w:lineRule="auto"/>
              <w:ind w:firstLine="482" w:firstLineChars="200"/>
              <w:jc w:val="left"/>
              <w:rPr>
                <w:rFonts w:hint="eastAsia"/>
                <w:sz w:val="24"/>
              </w:rPr>
            </w:pPr>
            <w:r>
              <w:rPr>
                <w:rFonts w:hint="eastAsia"/>
                <w:b/>
                <w:bCs/>
                <w:sz w:val="24"/>
              </w:rPr>
              <w:t>西园（雨花经济开发区）：</w:t>
            </w:r>
            <w:r>
              <w:rPr>
                <w:rFonts w:hint="eastAsia"/>
                <w:sz w:val="24"/>
              </w:rPr>
              <w:t>雨花经济</w:t>
            </w:r>
            <w:r>
              <w:rPr>
                <w:sz w:val="24"/>
              </w:rPr>
              <w:t>开发区是南京河西新区、板桥新城重要的产业服务基地，华东地区乃至全国重要的现代制造业基地。重点建设</w:t>
            </w:r>
            <w:r>
              <w:rPr>
                <w:rFonts w:hint="eastAsia"/>
                <w:sz w:val="24"/>
              </w:rPr>
              <w:t>工业产业区、科研商贸区及人居森林区等</w:t>
            </w:r>
            <w:r>
              <w:rPr>
                <w:sz w:val="24"/>
              </w:rPr>
              <w:t>三大园区。</w:t>
            </w:r>
            <w:r>
              <w:rPr>
                <w:rFonts w:hint="eastAsia"/>
                <w:sz w:val="24"/>
              </w:rPr>
              <w:t>其中</w:t>
            </w:r>
            <w:r>
              <w:rPr>
                <w:sz w:val="24"/>
              </w:rPr>
              <w:t>工业产业区，建造现代综合加工业产业基地</w:t>
            </w:r>
            <w:r>
              <w:rPr>
                <w:rFonts w:hint="eastAsia"/>
                <w:sz w:val="24"/>
              </w:rPr>
              <w:t>；</w:t>
            </w:r>
            <w:r>
              <w:rPr>
                <w:sz w:val="24"/>
              </w:rPr>
              <w:t>科研商贸区，发展以科研中心及其配套生产、大型商贸、</w:t>
            </w:r>
            <w:r>
              <w:rPr>
                <w:b/>
                <w:sz w:val="24"/>
              </w:rPr>
              <w:t>物流</w:t>
            </w:r>
            <w:r>
              <w:rPr>
                <w:sz w:val="24"/>
              </w:rPr>
              <w:t>等为主的生态型科研商贸园区</w:t>
            </w:r>
            <w:r>
              <w:rPr>
                <w:rFonts w:hint="eastAsia"/>
                <w:sz w:val="24"/>
              </w:rPr>
              <w:t>；</w:t>
            </w:r>
            <w:r>
              <w:rPr>
                <w:sz w:val="24"/>
              </w:rPr>
              <w:t>人居森林区，崇尚自然，以人为本，开发建设以旅游度假、休闲娱乐、高档居住为主题的城市生态公园。</w:t>
            </w:r>
          </w:p>
          <w:p>
            <w:pPr>
              <w:pStyle w:val="66"/>
              <w:snapToGrid w:val="0"/>
              <w:spacing w:line="360" w:lineRule="auto"/>
              <w:rPr>
                <w:rFonts w:cs="Times New Roman"/>
              </w:rPr>
            </w:pPr>
            <w:r>
              <w:rPr>
                <w:rFonts w:cs="Times New Roman"/>
              </w:rPr>
              <w:t>本项目位于</w:t>
            </w:r>
            <w:r>
              <w:rPr>
                <w:rFonts w:hint="eastAsia"/>
              </w:rPr>
              <w:t>中国（南京）软件谷</w:t>
            </w:r>
            <w:r>
              <w:rPr>
                <w:rFonts w:hint="eastAsia" w:cs="Times New Roman"/>
              </w:rPr>
              <w:t>西园（</w:t>
            </w:r>
            <w:r>
              <w:rPr>
                <w:rFonts w:cs="Times New Roman"/>
              </w:rPr>
              <w:t>雨花经济开发区</w:t>
            </w:r>
            <w:r>
              <w:rPr>
                <w:rFonts w:hint="eastAsia" w:cs="Times New Roman"/>
              </w:rPr>
              <w:t>）内</w:t>
            </w:r>
            <w:r>
              <w:rPr>
                <w:rFonts w:cs="Times New Roman"/>
              </w:rPr>
              <w:t>，</w:t>
            </w:r>
            <w:r>
              <w:rPr>
                <w:rFonts w:hint="eastAsia"/>
              </w:rPr>
              <w:t>物流配送</w:t>
            </w:r>
            <w:r>
              <w:t>商品涉及家用电器和日用百货两大类型</w:t>
            </w:r>
            <w:r>
              <w:rPr>
                <w:rFonts w:hint="eastAsia"/>
              </w:rPr>
              <w:t>，</w:t>
            </w:r>
            <w:r>
              <w:t>以支持</w:t>
            </w:r>
            <w:r>
              <w:rPr>
                <w:rFonts w:hint="eastAsia"/>
              </w:rPr>
              <w:t>苏宁易购电子商务</w:t>
            </w:r>
            <w:r>
              <w:t>华东地区</w:t>
            </w:r>
            <w:r>
              <w:rPr>
                <w:rFonts w:hint="eastAsia"/>
              </w:rPr>
              <w:t>物流配送</w:t>
            </w:r>
            <w:r>
              <w:t>为主，</w:t>
            </w:r>
            <w:r>
              <w:rPr>
                <w:rFonts w:hint="eastAsia"/>
              </w:rPr>
              <w:t>符合中国（南京）软件谷体规划的要求。</w:t>
            </w:r>
          </w:p>
          <w:p>
            <w:pPr>
              <w:adjustRightInd w:val="0"/>
              <w:snapToGrid w:val="0"/>
              <w:spacing w:line="360" w:lineRule="auto"/>
              <w:ind w:firstLine="482" w:firstLineChars="200"/>
              <w:rPr>
                <w:b/>
                <w:sz w:val="24"/>
              </w:rPr>
            </w:pPr>
            <w:r>
              <w:rPr>
                <w:b/>
                <w:sz w:val="24"/>
              </w:rPr>
              <w:t>(</w:t>
            </w:r>
            <w:r>
              <w:rPr>
                <w:rFonts w:hint="eastAsia"/>
                <w:b/>
                <w:sz w:val="24"/>
              </w:rPr>
              <w:t>3</w:t>
            </w:r>
            <w:r>
              <w:rPr>
                <w:b/>
                <w:sz w:val="24"/>
              </w:rPr>
              <w:t>)公用工程规划</w:t>
            </w:r>
          </w:p>
          <w:p>
            <w:pPr>
              <w:pStyle w:val="66"/>
              <w:snapToGrid w:val="0"/>
              <w:spacing w:line="360" w:lineRule="auto"/>
              <w:rPr>
                <w:rFonts w:cs="Times New Roman"/>
              </w:rPr>
            </w:pPr>
            <w:r>
              <w:rPr>
                <w:rFonts w:cs="Times New Roman"/>
              </w:rPr>
              <w:t>a.给水工程规划</w:t>
            </w:r>
          </w:p>
          <w:p>
            <w:pPr>
              <w:pStyle w:val="66"/>
              <w:snapToGrid w:val="0"/>
              <w:spacing w:line="360" w:lineRule="auto"/>
              <w:rPr>
                <w:rFonts w:cs="Times New Roman"/>
              </w:rPr>
            </w:pPr>
            <w:r>
              <w:rPr>
                <w:rFonts w:cs="Times New Roman"/>
              </w:rPr>
              <w:t>由城南水厂供水。城南水厂位于河西南部，规划规模为80万立方米/日，水源为长江。规划保留梅山矿业公司水厂供应生产用水。</w:t>
            </w:r>
          </w:p>
          <w:p>
            <w:pPr>
              <w:pStyle w:val="66"/>
              <w:snapToGrid w:val="0"/>
              <w:spacing w:line="360" w:lineRule="auto"/>
              <w:rPr>
                <w:rFonts w:cs="Times New Roman"/>
              </w:rPr>
            </w:pPr>
            <w:r>
              <w:rPr>
                <w:rFonts w:cs="Times New Roman"/>
              </w:rPr>
              <w:t>b.排水工程规划</w:t>
            </w:r>
          </w:p>
          <w:p>
            <w:pPr>
              <w:pStyle w:val="66"/>
              <w:snapToGrid w:val="0"/>
              <w:spacing w:line="360" w:lineRule="auto"/>
              <w:rPr>
                <w:rFonts w:cs="Times New Roman"/>
              </w:rPr>
            </w:pPr>
            <w:r>
              <w:rPr>
                <w:rFonts w:cs="Times New Roman"/>
              </w:rPr>
              <w:t>排水方式为机排，排涝标准为二十年一遇。规划保留现状板桥河、秦淮新河等外河，规划五号街沟、中心河、农场河等河道作为排水主要通道、规划14座雨水泵站，保留现状2座，规划扩建12座，总规模为104.3立方米/秒。沿各条道路规划d600-d1500雨水管，就近排入规划保留的河道。</w:t>
            </w:r>
          </w:p>
          <w:p>
            <w:pPr>
              <w:pStyle w:val="66"/>
              <w:snapToGrid w:val="0"/>
              <w:spacing w:line="360" w:lineRule="auto"/>
              <w:rPr>
                <w:rFonts w:cs="Times New Roman"/>
              </w:rPr>
            </w:pPr>
            <w:r>
              <w:rPr>
                <w:rFonts w:cs="Times New Roman"/>
              </w:rPr>
              <w:t>c.供热工程规划</w:t>
            </w:r>
          </w:p>
          <w:p>
            <w:pPr>
              <w:pStyle w:val="66"/>
              <w:snapToGrid w:val="0"/>
              <w:spacing w:line="360" w:lineRule="auto"/>
              <w:rPr>
                <w:rFonts w:cs="Times New Roman"/>
              </w:rPr>
            </w:pPr>
            <w:r>
              <w:rPr>
                <w:rFonts w:cs="Times New Roman"/>
              </w:rPr>
              <w:t>以华润板桥热电厂为热源。冬季集中采暖覆盖率取0.2-0.4，夏季集中供冷覆盖率取0.2-0.4。本地区冬季集中供热热负荷需求约248.4兆瓦，夏季集中空调负荷331.2兆瓦。</w:t>
            </w:r>
          </w:p>
          <w:p>
            <w:pPr>
              <w:pStyle w:val="66"/>
              <w:snapToGrid w:val="0"/>
              <w:spacing w:line="360" w:lineRule="auto"/>
              <w:rPr>
                <w:rFonts w:cs="Times New Roman"/>
              </w:rPr>
            </w:pPr>
            <w:r>
              <w:rPr>
                <w:rFonts w:cs="Times New Roman"/>
              </w:rPr>
              <w:t>d.供电工程规划</w:t>
            </w:r>
          </w:p>
          <w:p>
            <w:pPr>
              <w:pStyle w:val="66"/>
              <w:snapToGrid w:val="0"/>
              <w:spacing w:line="360" w:lineRule="auto"/>
              <w:rPr>
                <w:rFonts w:cs="Times New Roman"/>
              </w:rPr>
            </w:pPr>
            <w:r>
              <w:rPr>
                <w:rFonts w:cs="Times New Roman"/>
              </w:rPr>
              <w:t>采用地均和建筑面积负荷指标法相结合，预测最大用电负荷约为95万千瓦，平均负荷密度为3.22万千瓦/平方公里。500千伏变电站1座，为规划新建的秦淮变电站，远期主变容量为3*100万千伏安，位于京沪高铁以南，占地面积4.63公顷。</w:t>
            </w:r>
          </w:p>
          <w:p>
            <w:pPr>
              <w:pStyle w:val="66"/>
              <w:snapToGrid w:val="0"/>
              <w:spacing w:line="360" w:lineRule="auto"/>
              <w:rPr>
                <w:rFonts w:cs="Times New Roman"/>
              </w:rPr>
            </w:pPr>
            <w:r>
              <w:rPr>
                <w:rFonts w:cs="Times New Roman"/>
              </w:rPr>
              <w:t>e.燃气工程规划</w:t>
            </w:r>
          </w:p>
          <w:p>
            <w:pPr>
              <w:pStyle w:val="66"/>
              <w:snapToGrid w:val="0"/>
              <w:spacing w:line="360" w:lineRule="auto"/>
              <w:rPr>
                <w:rFonts w:cs="Times New Roman"/>
              </w:rPr>
            </w:pPr>
            <w:r>
              <w:rPr>
                <w:rFonts w:cs="Times New Roman"/>
              </w:rPr>
              <w:t>规划区燃气气化率100%，管道天然气气化率达100%。</w:t>
            </w:r>
          </w:p>
          <w:p>
            <w:pPr>
              <w:pStyle w:val="66"/>
              <w:snapToGrid w:val="0"/>
              <w:spacing w:line="360" w:lineRule="auto"/>
              <w:rPr>
                <w:rFonts w:cs="Times New Roman"/>
              </w:rPr>
            </w:pPr>
            <w:r>
              <w:rPr>
                <w:rFonts w:cs="Times New Roman"/>
              </w:rPr>
              <w:t>f.环卫工程规划</w:t>
            </w:r>
          </w:p>
          <w:p>
            <w:pPr>
              <w:pStyle w:val="66"/>
              <w:snapToGrid w:val="0"/>
              <w:spacing w:line="360" w:lineRule="auto"/>
              <w:rPr>
                <w:rFonts w:cs="Times New Roman"/>
              </w:rPr>
            </w:pPr>
            <w:r>
              <w:rPr>
                <w:rFonts w:cs="Times New Roman"/>
              </w:rPr>
              <w:t>预测生活垃圾产生量为188t/d，共设置3座垃圾中转站。1座位于龙飞路和凤舞路交叉口东北侧，为现状保留；1座位于宁芜公路以西，为现状保留；1座位于龙藏大道以东、公路二环以北，为规划新建。</w:t>
            </w:r>
          </w:p>
          <w:p>
            <w:pPr>
              <w:pStyle w:val="66"/>
              <w:snapToGrid w:val="0"/>
              <w:spacing w:line="360" w:lineRule="auto"/>
              <w:rPr>
                <w:rFonts w:cs="Times New Roman"/>
              </w:rPr>
            </w:pPr>
            <w:r>
              <w:rPr>
                <w:rFonts w:cs="Times New Roman"/>
              </w:rPr>
              <w:t>本项目位于南京市雨花台区雨花经济开发区，龙藏大道以南、二号路以北、</w:t>
            </w:r>
            <w:r>
              <w:rPr>
                <w:rFonts w:hint="eastAsia" w:cs="Times New Roman"/>
              </w:rPr>
              <w:t>苏宁</w:t>
            </w:r>
            <w:r>
              <w:rPr>
                <w:rFonts w:cs="Times New Roman"/>
              </w:rPr>
              <w:t>物流中心项目以西，属于中国（南京）软件谷西片区土地利用规划中的工业用地。项目建设符合用地规划要求。</w:t>
            </w:r>
          </w:p>
          <w:p>
            <w:pPr>
              <w:spacing w:line="360" w:lineRule="auto"/>
              <w:rPr>
                <w:b/>
                <w:bCs/>
                <w:color w:val="000000"/>
                <w:sz w:val="24"/>
              </w:rPr>
            </w:pPr>
            <w:r>
              <w:rPr>
                <w:b/>
                <w:bCs/>
                <w:color w:val="000000"/>
                <w:sz w:val="24"/>
              </w:rPr>
              <w:t>3.7、环境功能区划</w:t>
            </w:r>
          </w:p>
          <w:p>
            <w:pPr>
              <w:adjustRightInd w:val="0"/>
              <w:snapToGrid w:val="0"/>
              <w:spacing w:line="360" w:lineRule="auto"/>
              <w:ind w:firstLine="482" w:firstLineChars="200"/>
              <w:rPr>
                <w:b/>
                <w:sz w:val="24"/>
              </w:rPr>
            </w:pPr>
            <w:r>
              <w:rPr>
                <w:b/>
                <w:sz w:val="24"/>
              </w:rPr>
              <w:t>（1）大气</w:t>
            </w:r>
          </w:p>
          <w:p>
            <w:pPr>
              <w:pStyle w:val="66"/>
              <w:snapToGrid w:val="0"/>
              <w:spacing w:line="360" w:lineRule="auto"/>
              <w:rPr>
                <w:rFonts w:cs="Times New Roman"/>
              </w:rPr>
            </w:pPr>
            <w:r>
              <w:rPr>
                <w:rFonts w:cs="Times New Roman"/>
              </w:rPr>
              <w:t>根据环境功能区划，项目所在地为大气环境二类功能区。</w:t>
            </w:r>
          </w:p>
          <w:p>
            <w:pPr>
              <w:adjustRightInd w:val="0"/>
              <w:snapToGrid w:val="0"/>
              <w:spacing w:line="360" w:lineRule="auto"/>
              <w:ind w:firstLine="482" w:firstLineChars="200"/>
              <w:rPr>
                <w:b/>
                <w:sz w:val="24"/>
              </w:rPr>
            </w:pPr>
            <w:r>
              <w:rPr>
                <w:b/>
                <w:sz w:val="24"/>
              </w:rPr>
              <w:t>（2）地表水</w:t>
            </w:r>
          </w:p>
          <w:p>
            <w:pPr>
              <w:pStyle w:val="66"/>
              <w:snapToGrid w:val="0"/>
              <w:spacing w:line="360" w:lineRule="auto"/>
              <w:rPr>
                <w:rFonts w:cs="Times New Roman"/>
              </w:rPr>
            </w:pPr>
            <w:r>
              <w:rPr>
                <w:rFonts w:cs="Times New Roman"/>
              </w:rPr>
              <w:t>根据2003年3月《省政府关于江苏省地表水环境功能区划的批复》（江苏省人民政府，苏政复[2003]29号）和《江苏省地表水（环境）功能区划》的要求，区域内纳污水体长江南京段水质执行《地表水环境质量标准》（GB3527-2002）</w:t>
            </w:r>
            <w:r>
              <w:rPr>
                <w:rFonts w:cs="Times New Roman"/>
              </w:rPr>
              <w:fldChar w:fldCharType="begin"/>
            </w:r>
            <w:r>
              <w:rPr>
                <w:rFonts w:cs="Times New Roman"/>
              </w:rPr>
              <w:instrText xml:space="preserve"> = 2 \* ROMAN </w:instrText>
            </w:r>
            <w:r>
              <w:rPr>
                <w:rFonts w:cs="Times New Roman"/>
              </w:rPr>
              <w:fldChar w:fldCharType="separate"/>
            </w:r>
            <w:r>
              <w:rPr>
                <w:rFonts w:cs="Times New Roman"/>
              </w:rPr>
              <w:t>II</w:t>
            </w:r>
            <w:r>
              <w:rPr>
                <w:rFonts w:cs="Times New Roman"/>
              </w:rPr>
              <w:fldChar w:fldCharType="end"/>
            </w:r>
            <w:r>
              <w:rPr>
                <w:rFonts w:cs="Times New Roman"/>
              </w:rPr>
              <w:t>类标准。</w:t>
            </w:r>
          </w:p>
          <w:p>
            <w:pPr>
              <w:pStyle w:val="66"/>
              <w:snapToGrid w:val="0"/>
              <w:spacing w:line="360" w:lineRule="auto"/>
              <w:ind w:firstLine="482"/>
              <w:rPr>
                <w:rFonts w:cs="Times New Roman"/>
                <w:b/>
              </w:rPr>
            </w:pPr>
            <w:r>
              <w:rPr>
                <w:rFonts w:cs="Times New Roman"/>
                <w:b/>
              </w:rPr>
              <w:t>（3）噪声</w:t>
            </w:r>
          </w:p>
          <w:p>
            <w:pPr>
              <w:pStyle w:val="66"/>
              <w:snapToGrid w:val="0"/>
              <w:spacing w:line="360" w:lineRule="auto"/>
              <w:rPr>
                <w:rFonts w:cs="Times New Roman"/>
              </w:rPr>
            </w:pPr>
            <w:r>
              <w:rPr>
                <w:rFonts w:cs="Times New Roman"/>
              </w:rPr>
              <w:t>根据《2013年南京市环境噪声标准适用区域划分调整方案及编制说明》，本项目处于3类声环境功能区，道路交通干线及两侧一定距离之内执行《声环境质量标准》（GB3096-2008）中的4a类标准。</w:t>
            </w: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ind w:firstLine="0" w:firstLineChars="0"/>
              <w:rPr>
                <w:rFonts w:cs="Times New Roman"/>
              </w:rPr>
            </w:pPr>
          </w:p>
          <w:p>
            <w:pPr>
              <w:pStyle w:val="66"/>
              <w:snapToGrid w:val="0"/>
              <w:spacing w:line="360" w:lineRule="auto"/>
              <w:rPr>
                <w:rFonts w:cs="Times New Roman"/>
              </w:rPr>
            </w:pPr>
          </w:p>
          <w:p>
            <w:pPr>
              <w:pStyle w:val="66"/>
              <w:snapToGrid w:val="0"/>
              <w:spacing w:line="360" w:lineRule="auto"/>
              <w:rPr>
                <w:rFonts w:cs="Times New Roman"/>
              </w:rPr>
            </w:pPr>
          </w:p>
          <w:p>
            <w:pPr>
              <w:pStyle w:val="66"/>
              <w:snapToGrid w:val="0"/>
              <w:spacing w:line="360" w:lineRule="auto"/>
              <w:ind w:firstLine="200"/>
              <w:rPr>
                <w:rFonts w:cs="Times New Roman"/>
                <w:color w:val="000000"/>
                <w:sz w:val="10"/>
                <w:szCs w:val="10"/>
              </w:rPr>
            </w:pPr>
          </w:p>
        </w:tc>
      </w:tr>
    </w:tbl>
    <w:p>
      <w:pPr>
        <w:outlineLvl w:val="0"/>
        <w:rPr>
          <w:b/>
          <w:color w:val="000000"/>
          <w:sz w:val="24"/>
        </w:rPr>
      </w:pPr>
      <w:r>
        <w:rPr>
          <w:color w:val="000000"/>
          <w:sz w:val="24"/>
        </w:rPr>
        <w:br w:type="page"/>
      </w:r>
      <w:r>
        <w:rPr>
          <w:color w:val="000000"/>
          <w:sz w:val="24"/>
        </w:rPr>
        <w:t>4、</w:t>
      </w:r>
      <w:r>
        <w:rPr>
          <w:b/>
          <w:color w:val="000000"/>
          <w:sz w:val="24"/>
        </w:rPr>
        <w:t>环境质量状况</w:t>
      </w: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vAlign w:val="top"/>
          </w:tcPr>
          <w:p>
            <w:pPr>
              <w:spacing w:line="360" w:lineRule="auto"/>
              <w:rPr>
                <w:b/>
                <w:color w:val="000000"/>
                <w:sz w:val="24"/>
              </w:rPr>
            </w:pPr>
            <w:r>
              <w:rPr>
                <w:b/>
                <w:color w:val="000000"/>
                <w:sz w:val="24"/>
              </w:rPr>
              <w:t>建设项目所在区域环境质量现状及主要环境问题：（空气环境、地面水、地下水、声环境、辐射环境、生态环境）</w:t>
            </w:r>
          </w:p>
          <w:p>
            <w:pPr>
              <w:spacing w:line="360" w:lineRule="auto"/>
              <w:rPr>
                <w:b/>
                <w:color w:val="000000"/>
                <w:sz w:val="24"/>
              </w:rPr>
            </w:pPr>
            <w:r>
              <w:rPr>
                <w:b/>
                <w:color w:val="000000"/>
                <w:sz w:val="24"/>
              </w:rPr>
              <w:t xml:space="preserve">    一、大气环境质量现状：</w:t>
            </w:r>
          </w:p>
          <w:p>
            <w:pPr>
              <w:spacing w:line="440" w:lineRule="exact"/>
              <w:ind w:firstLine="480" w:firstLineChars="200"/>
              <w:rPr>
                <w:kern w:val="0"/>
                <w:sz w:val="24"/>
              </w:rPr>
            </w:pPr>
            <w:r>
              <w:rPr>
                <w:kern w:val="0"/>
                <w:sz w:val="24"/>
              </w:rPr>
              <w:t>本次大气环境质量现状监测引用（2015）力维（环）字4078号《南京明发浦泰置业有限公司南京明发浦泰板桥锦东地块环评项目》中的监测数据。监测时间为2015年4月15日～21日。SO</w:t>
            </w:r>
            <w:r>
              <w:rPr>
                <w:kern w:val="0"/>
                <w:sz w:val="24"/>
                <w:vertAlign w:val="subscript"/>
              </w:rPr>
              <w:t>2</w:t>
            </w:r>
            <w:r>
              <w:rPr>
                <w:kern w:val="0"/>
                <w:sz w:val="24"/>
              </w:rPr>
              <w:t>、NO</w:t>
            </w:r>
            <w:r>
              <w:rPr>
                <w:kern w:val="0"/>
                <w:sz w:val="24"/>
                <w:vertAlign w:val="subscript"/>
              </w:rPr>
              <w:t>2</w:t>
            </w:r>
            <w:r>
              <w:rPr>
                <w:kern w:val="0"/>
                <w:sz w:val="24"/>
              </w:rPr>
              <w:t>连续监测7天，每天4次（采样时间为2：00、8：00、14：00、20：00）。PM</w:t>
            </w:r>
            <w:r>
              <w:rPr>
                <w:kern w:val="0"/>
                <w:sz w:val="24"/>
                <w:vertAlign w:val="subscript"/>
              </w:rPr>
              <w:t>10</w:t>
            </w:r>
            <w:r>
              <w:rPr>
                <w:kern w:val="0"/>
                <w:sz w:val="24"/>
              </w:rPr>
              <w:t>监测日均值，连续监测7天。监测期间按气象观测技术规范在一个监测点现场同步观测风速、风向、气压、气温等常规气象要素。</w:t>
            </w:r>
          </w:p>
          <w:p>
            <w:pPr>
              <w:pStyle w:val="8"/>
              <w:adjustRightInd w:val="0"/>
              <w:snapToGrid w:val="0"/>
              <w:spacing w:line="240" w:lineRule="auto"/>
              <w:ind w:firstLine="0" w:firstLineChars="0"/>
              <w:jc w:val="center"/>
              <w:rPr>
                <w:rFonts w:ascii="Times New Roman"/>
                <w:b/>
              </w:rPr>
            </w:pPr>
            <w:r>
              <w:rPr>
                <w:rFonts w:ascii="Times New Roman"/>
                <w:b/>
              </w:rPr>
              <w:t>表4-1 评价区各测点监测统计结果（单位:mg/Nm</w:t>
            </w:r>
            <w:r>
              <w:rPr>
                <w:rFonts w:ascii="Times New Roman"/>
                <w:b/>
                <w:vertAlign w:val="superscript"/>
              </w:rPr>
              <w:t>3</w:t>
            </w:r>
            <w:r>
              <w:rPr>
                <w:rFonts w:ascii="Times New Roman"/>
                <w:b/>
              </w:rPr>
              <w:t>）</w:t>
            </w:r>
          </w:p>
          <w:tbl>
            <w:tblPr>
              <w:tblStyle w:val="33"/>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3"/>
              <w:gridCol w:w="982"/>
              <w:gridCol w:w="1133"/>
              <w:gridCol w:w="931"/>
              <w:gridCol w:w="1176"/>
              <w:gridCol w:w="1170"/>
              <w:gridCol w:w="1170"/>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blHeader/>
                <w:jc w:val="center"/>
              </w:trPr>
              <w:tc>
                <w:tcPr>
                  <w:tcW w:w="573" w:type="dxa"/>
                  <w:vMerge w:val="restart"/>
                  <w:vAlign w:val="center"/>
                </w:tcPr>
                <w:p>
                  <w:pPr>
                    <w:overflowPunct w:val="0"/>
                    <w:snapToGrid w:val="0"/>
                    <w:jc w:val="center"/>
                    <w:rPr>
                      <w:kern w:val="0"/>
                      <w:szCs w:val="21"/>
                    </w:rPr>
                  </w:pPr>
                  <w:r>
                    <w:rPr>
                      <w:kern w:val="0"/>
                      <w:szCs w:val="21"/>
                    </w:rPr>
                    <w:t>项目</w:t>
                  </w:r>
                </w:p>
              </w:tc>
              <w:tc>
                <w:tcPr>
                  <w:tcW w:w="982" w:type="dxa"/>
                  <w:vMerge w:val="restart"/>
                  <w:vAlign w:val="center"/>
                </w:tcPr>
                <w:p>
                  <w:pPr>
                    <w:overflowPunct w:val="0"/>
                    <w:snapToGrid w:val="0"/>
                    <w:jc w:val="center"/>
                    <w:rPr>
                      <w:kern w:val="0"/>
                      <w:szCs w:val="21"/>
                    </w:rPr>
                  </w:pPr>
                  <w:r>
                    <w:rPr>
                      <w:kern w:val="0"/>
                      <w:szCs w:val="21"/>
                    </w:rPr>
                    <w:t>监测点</w:t>
                  </w:r>
                </w:p>
              </w:tc>
              <w:tc>
                <w:tcPr>
                  <w:tcW w:w="3240" w:type="dxa"/>
                  <w:gridSpan w:val="3"/>
                  <w:vAlign w:val="center"/>
                </w:tcPr>
                <w:p>
                  <w:pPr>
                    <w:overflowPunct w:val="0"/>
                    <w:snapToGrid w:val="0"/>
                    <w:jc w:val="center"/>
                    <w:rPr>
                      <w:kern w:val="0"/>
                      <w:szCs w:val="21"/>
                    </w:rPr>
                  </w:pPr>
                  <w:r>
                    <w:rPr>
                      <w:kern w:val="0"/>
                      <w:szCs w:val="21"/>
                    </w:rPr>
                    <w:t>小时值</w:t>
                  </w:r>
                </w:p>
              </w:tc>
              <w:tc>
                <w:tcPr>
                  <w:tcW w:w="3501" w:type="dxa"/>
                  <w:gridSpan w:val="3"/>
                  <w:vAlign w:val="center"/>
                </w:tcPr>
                <w:p>
                  <w:pPr>
                    <w:overflowPunct w:val="0"/>
                    <w:snapToGrid w:val="0"/>
                    <w:jc w:val="center"/>
                    <w:rPr>
                      <w:kern w:val="0"/>
                      <w:szCs w:val="21"/>
                    </w:rPr>
                  </w:pPr>
                  <w:r>
                    <w:rPr>
                      <w:kern w:val="0"/>
                      <w:szCs w:val="21"/>
                    </w:rPr>
                    <w:t>日均值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blHeader/>
                <w:jc w:val="center"/>
              </w:trPr>
              <w:tc>
                <w:tcPr>
                  <w:tcW w:w="573" w:type="dxa"/>
                  <w:vMerge w:val="continue"/>
                  <w:vAlign w:val="center"/>
                </w:tcPr>
                <w:p>
                  <w:pPr>
                    <w:overflowPunct w:val="0"/>
                    <w:snapToGrid w:val="0"/>
                    <w:jc w:val="center"/>
                    <w:rPr>
                      <w:kern w:val="0"/>
                      <w:szCs w:val="21"/>
                    </w:rPr>
                  </w:pPr>
                </w:p>
              </w:tc>
              <w:tc>
                <w:tcPr>
                  <w:tcW w:w="982" w:type="dxa"/>
                  <w:vMerge w:val="continue"/>
                  <w:vAlign w:val="center"/>
                </w:tcPr>
                <w:p>
                  <w:pPr>
                    <w:overflowPunct w:val="0"/>
                    <w:snapToGrid w:val="0"/>
                    <w:jc w:val="center"/>
                    <w:rPr>
                      <w:kern w:val="0"/>
                      <w:szCs w:val="21"/>
                    </w:rPr>
                  </w:pPr>
                </w:p>
              </w:tc>
              <w:tc>
                <w:tcPr>
                  <w:tcW w:w="1133" w:type="dxa"/>
                  <w:vAlign w:val="center"/>
                </w:tcPr>
                <w:p>
                  <w:pPr>
                    <w:overflowPunct w:val="0"/>
                    <w:snapToGrid w:val="0"/>
                    <w:jc w:val="center"/>
                    <w:rPr>
                      <w:kern w:val="0"/>
                      <w:szCs w:val="21"/>
                    </w:rPr>
                  </w:pPr>
                  <w:r>
                    <w:rPr>
                      <w:kern w:val="0"/>
                      <w:szCs w:val="21"/>
                    </w:rPr>
                    <w:t>浓度范围(mg/m</w:t>
                  </w:r>
                  <w:r>
                    <w:rPr>
                      <w:kern w:val="0"/>
                      <w:szCs w:val="21"/>
                      <w:vertAlign w:val="superscript"/>
                    </w:rPr>
                    <w:t>3</w:t>
                  </w:r>
                  <w:r>
                    <w:rPr>
                      <w:kern w:val="0"/>
                      <w:szCs w:val="21"/>
                    </w:rPr>
                    <w:cr/>
                  </w:r>
                </w:p>
              </w:tc>
              <w:tc>
                <w:tcPr>
                  <w:tcW w:w="931" w:type="dxa"/>
                  <w:vAlign w:val="center"/>
                </w:tcPr>
                <w:p>
                  <w:pPr>
                    <w:overflowPunct w:val="0"/>
                    <w:snapToGrid w:val="0"/>
                    <w:jc w:val="center"/>
                    <w:rPr>
                      <w:kern w:val="0"/>
                      <w:szCs w:val="21"/>
                    </w:rPr>
                  </w:pPr>
                  <w:r>
                    <w:rPr>
                      <w:kern w:val="0"/>
                      <w:szCs w:val="21"/>
                    </w:rPr>
                    <w:t>超标率</w:t>
                  </w:r>
                </w:p>
                <w:p>
                  <w:pPr>
                    <w:overflowPunct w:val="0"/>
                    <w:snapToGrid w:val="0"/>
                    <w:jc w:val="center"/>
                    <w:rPr>
                      <w:kern w:val="0"/>
                      <w:szCs w:val="21"/>
                    </w:rPr>
                  </w:pPr>
                  <w:r>
                    <w:rPr>
                      <w:kern w:val="0"/>
                      <w:szCs w:val="21"/>
                    </w:rPr>
                    <w:t>(%)</w:t>
                  </w:r>
                </w:p>
              </w:tc>
              <w:tc>
                <w:tcPr>
                  <w:tcW w:w="1176" w:type="dxa"/>
                  <w:vAlign w:val="center"/>
                </w:tcPr>
                <w:p>
                  <w:pPr>
                    <w:overflowPunct w:val="0"/>
                    <w:snapToGrid w:val="0"/>
                    <w:jc w:val="center"/>
                    <w:rPr>
                      <w:kern w:val="0"/>
                      <w:szCs w:val="21"/>
                    </w:rPr>
                  </w:pPr>
                  <w:r>
                    <w:rPr>
                      <w:kern w:val="0"/>
                      <w:szCs w:val="21"/>
                    </w:rPr>
                    <w:t>最大单因子</w:t>
                  </w:r>
                </w:p>
                <w:p>
                  <w:pPr>
                    <w:overflowPunct w:val="0"/>
                    <w:snapToGrid w:val="0"/>
                    <w:jc w:val="center"/>
                    <w:rPr>
                      <w:kern w:val="0"/>
                      <w:szCs w:val="21"/>
                    </w:rPr>
                  </w:pPr>
                  <w:r>
                    <w:rPr>
                      <w:kern w:val="0"/>
                      <w:szCs w:val="21"/>
                    </w:rPr>
                    <w:t>指数I</w:t>
                  </w:r>
                </w:p>
              </w:tc>
              <w:tc>
                <w:tcPr>
                  <w:tcW w:w="1170" w:type="dxa"/>
                  <w:vAlign w:val="center"/>
                </w:tcPr>
                <w:p>
                  <w:pPr>
                    <w:overflowPunct w:val="0"/>
                    <w:snapToGrid w:val="0"/>
                    <w:jc w:val="center"/>
                    <w:rPr>
                      <w:kern w:val="0"/>
                      <w:szCs w:val="21"/>
                    </w:rPr>
                  </w:pPr>
                  <w:r>
                    <w:rPr>
                      <w:kern w:val="0"/>
                      <w:szCs w:val="21"/>
                    </w:rPr>
                    <w:t>浓度值范围(mg/m</w:t>
                  </w:r>
                  <w:r>
                    <w:rPr>
                      <w:kern w:val="0"/>
                      <w:szCs w:val="21"/>
                      <w:vertAlign w:val="superscript"/>
                    </w:rPr>
                    <w:t>3</w:t>
                  </w:r>
                  <w:r>
                    <w:rPr>
                      <w:kern w:val="0"/>
                      <w:szCs w:val="21"/>
                    </w:rPr>
                    <w:t>)</w:t>
                  </w:r>
                </w:p>
              </w:tc>
              <w:tc>
                <w:tcPr>
                  <w:tcW w:w="1170" w:type="dxa"/>
                  <w:vAlign w:val="center"/>
                </w:tcPr>
                <w:p>
                  <w:pPr>
                    <w:widowControl/>
                    <w:jc w:val="center"/>
                    <w:rPr>
                      <w:rFonts w:eastAsia="TimesNewRomanPSMT"/>
                      <w:kern w:val="0"/>
                      <w:szCs w:val="21"/>
                    </w:rPr>
                  </w:pPr>
                  <w:r>
                    <w:rPr>
                      <w:rFonts w:eastAsia="TimesNewRomanPSMT"/>
                      <w:kern w:val="0"/>
                      <w:szCs w:val="21"/>
                    </w:rPr>
                    <w:t>超标率</w:t>
                  </w:r>
                </w:p>
                <w:p>
                  <w:pPr>
                    <w:widowControl/>
                    <w:jc w:val="center"/>
                    <w:rPr>
                      <w:rFonts w:eastAsia="TimesNewRomanPSMT"/>
                      <w:kern w:val="0"/>
                      <w:szCs w:val="21"/>
                    </w:rPr>
                  </w:pPr>
                  <w:r>
                    <w:rPr>
                      <w:rFonts w:eastAsia="TimesNewRomanPSMT"/>
                      <w:kern w:val="0"/>
                      <w:szCs w:val="21"/>
                    </w:rPr>
                    <w:t>(%)</w:t>
                  </w:r>
                </w:p>
              </w:tc>
              <w:tc>
                <w:tcPr>
                  <w:tcW w:w="1161" w:type="dxa"/>
                  <w:vAlign w:val="center"/>
                </w:tcPr>
                <w:p>
                  <w:pPr>
                    <w:widowControl/>
                    <w:jc w:val="center"/>
                    <w:rPr>
                      <w:rFonts w:eastAsia="TimesNewRomanPSMT"/>
                      <w:kern w:val="0"/>
                      <w:szCs w:val="21"/>
                    </w:rPr>
                  </w:pPr>
                  <w:r>
                    <w:rPr>
                      <w:rFonts w:eastAsia="TimesNewRomanPSMT"/>
                      <w:kern w:val="0"/>
                      <w:szCs w:val="21"/>
                    </w:rPr>
                    <w:t>最大单因子</w:t>
                  </w:r>
                </w:p>
                <w:p>
                  <w:pPr>
                    <w:widowControl/>
                    <w:jc w:val="center"/>
                    <w:rPr>
                      <w:rFonts w:eastAsia="TimesNewRomanPSMT"/>
                      <w:kern w:val="0"/>
                      <w:szCs w:val="21"/>
                    </w:rPr>
                  </w:pPr>
                  <w:r>
                    <w:rPr>
                      <w:rFonts w:eastAsia="TimesNewRomanPSMT"/>
                      <w:kern w:val="0"/>
                      <w:szCs w:val="21"/>
                    </w:rPr>
                    <w:t>指数I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restart"/>
                  <w:vAlign w:val="center"/>
                </w:tcPr>
                <w:p>
                  <w:pPr>
                    <w:jc w:val="center"/>
                    <w:rPr>
                      <w:kern w:val="24"/>
                      <w:szCs w:val="21"/>
                    </w:rPr>
                  </w:pPr>
                  <w:r>
                    <w:rPr>
                      <w:szCs w:val="21"/>
                    </w:rPr>
                    <w:t>SO</w:t>
                  </w:r>
                  <w:r>
                    <w:rPr>
                      <w:szCs w:val="21"/>
                      <w:vertAlign w:val="subscript"/>
                    </w:rPr>
                    <w:t>2</w:t>
                  </w:r>
                </w:p>
              </w:tc>
              <w:tc>
                <w:tcPr>
                  <w:tcW w:w="982" w:type="dxa"/>
                  <w:vAlign w:val="center"/>
                </w:tcPr>
                <w:p>
                  <w:pPr>
                    <w:adjustRightInd w:val="0"/>
                    <w:snapToGrid w:val="0"/>
                    <w:jc w:val="center"/>
                    <w:rPr>
                      <w:snapToGrid w:val="0"/>
                      <w:szCs w:val="21"/>
                    </w:rPr>
                  </w:pPr>
                  <w:r>
                    <w:rPr>
                      <w:szCs w:val="21"/>
                    </w:rPr>
                    <w:t>明发浦泰板桥锦东</w:t>
                  </w:r>
                </w:p>
              </w:tc>
              <w:tc>
                <w:tcPr>
                  <w:tcW w:w="1133" w:type="dxa"/>
                  <w:vAlign w:val="center"/>
                </w:tcPr>
                <w:p>
                  <w:pPr>
                    <w:widowControl/>
                    <w:jc w:val="center"/>
                    <w:rPr>
                      <w:kern w:val="0"/>
                      <w:szCs w:val="21"/>
                    </w:rPr>
                  </w:pPr>
                  <w:r>
                    <w:rPr>
                      <w:rFonts w:eastAsia="TimesNewRomanPSMT"/>
                      <w:kern w:val="0"/>
                      <w:szCs w:val="21"/>
                    </w:rPr>
                    <w:t>0.023~0.044</w:t>
                  </w:r>
                </w:p>
              </w:tc>
              <w:tc>
                <w:tcPr>
                  <w:tcW w:w="931" w:type="dxa"/>
                  <w:vAlign w:val="center"/>
                </w:tcPr>
                <w:p>
                  <w:pPr>
                    <w:widowControl/>
                    <w:jc w:val="center"/>
                    <w:rPr>
                      <w:kern w:val="0"/>
                      <w:szCs w:val="21"/>
                    </w:rPr>
                  </w:pPr>
                  <w:r>
                    <w:rPr>
                      <w:kern w:val="0"/>
                      <w:szCs w:val="21"/>
                    </w:rPr>
                    <w:t>0</w:t>
                  </w:r>
                </w:p>
              </w:tc>
              <w:tc>
                <w:tcPr>
                  <w:tcW w:w="1176" w:type="dxa"/>
                  <w:vAlign w:val="center"/>
                </w:tcPr>
                <w:p>
                  <w:pPr>
                    <w:widowControl/>
                    <w:jc w:val="center"/>
                    <w:rPr>
                      <w:kern w:val="0"/>
                      <w:szCs w:val="21"/>
                    </w:rPr>
                  </w:pPr>
                  <w:r>
                    <w:rPr>
                      <w:kern w:val="0"/>
                      <w:szCs w:val="21"/>
                    </w:rPr>
                    <w:t>0.088</w:t>
                  </w:r>
                </w:p>
              </w:tc>
              <w:tc>
                <w:tcPr>
                  <w:tcW w:w="1170" w:type="dxa"/>
                  <w:vAlign w:val="center"/>
                </w:tcPr>
                <w:p>
                  <w:pPr>
                    <w:widowControl/>
                    <w:jc w:val="center"/>
                    <w:rPr>
                      <w:kern w:val="0"/>
                      <w:szCs w:val="21"/>
                    </w:rPr>
                  </w:pPr>
                  <w:r>
                    <w:rPr>
                      <w:rFonts w:eastAsia="TimesNewRomanPSMT"/>
                      <w:kern w:val="0"/>
                      <w:szCs w:val="21"/>
                    </w:rPr>
                    <w:t>0.031~0.035</w:t>
                  </w:r>
                </w:p>
              </w:tc>
              <w:tc>
                <w:tcPr>
                  <w:tcW w:w="1170" w:type="dxa"/>
                  <w:vAlign w:val="center"/>
                </w:tcPr>
                <w:p>
                  <w:pPr>
                    <w:widowControl/>
                    <w:jc w:val="center"/>
                    <w:rPr>
                      <w:rFonts w:eastAsia="TimesNewRomanPSMT"/>
                      <w:kern w:val="0"/>
                      <w:szCs w:val="21"/>
                    </w:rPr>
                  </w:pPr>
                  <w:r>
                    <w:rPr>
                      <w:rFonts w:eastAsia="TimesNewRomanPSMT"/>
                      <w:kern w:val="0"/>
                      <w:szCs w:val="21"/>
                    </w:rPr>
                    <w:t>0</w:t>
                  </w:r>
                </w:p>
              </w:tc>
              <w:tc>
                <w:tcPr>
                  <w:tcW w:w="1161" w:type="dxa"/>
                  <w:vAlign w:val="center"/>
                </w:tcPr>
                <w:p>
                  <w:pPr>
                    <w:widowControl/>
                    <w:jc w:val="center"/>
                    <w:rPr>
                      <w:rFonts w:eastAsia="TimesNewRomanPSMT"/>
                      <w:kern w:val="0"/>
                      <w:szCs w:val="21"/>
                    </w:rPr>
                  </w:pPr>
                  <w:r>
                    <w:rPr>
                      <w:rFonts w:eastAsia="TimesNewRomanPSMT"/>
                      <w:kern w:val="0"/>
                      <w:szCs w:val="21"/>
                    </w:rPr>
                    <w:t>0.230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continue"/>
                  <w:vAlign w:val="center"/>
                </w:tcPr>
                <w:p>
                  <w:pPr>
                    <w:overflowPunct w:val="0"/>
                    <w:snapToGrid w:val="0"/>
                    <w:jc w:val="center"/>
                    <w:rPr>
                      <w:kern w:val="0"/>
                      <w:szCs w:val="21"/>
                    </w:rPr>
                  </w:pPr>
                </w:p>
              </w:tc>
              <w:tc>
                <w:tcPr>
                  <w:tcW w:w="982" w:type="dxa"/>
                  <w:vAlign w:val="center"/>
                </w:tcPr>
                <w:p>
                  <w:pPr>
                    <w:adjustRightInd w:val="0"/>
                    <w:snapToGrid w:val="0"/>
                    <w:jc w:val="center"/>
                    <w:rPr>
                      <w:snapToGrid w:val="0"/>
                      <w:szCs w:val="21"/>
                    </w:rPr>
                  </w:pPr>
                  <w:r>
                    <w:rPr>
                      <w:snapToGrid w:val="0"/>
                      <w:szCs w:val="21"/>
                    </w:rPr>
                    <w:t>人才公寓</w:t>
                  </w:r>
                </w:p>
              </w:tc>
              <w:tc>
                <w:tcPr>
                  <w:tcW w:w="1133" w:type="dxa"/>
                  <w:vAlign w:val="center"/>
                </w:tcPr>
                <w:p>
                  <w:pPr>
                    <w:widowControl/>
                    <w:jc w:val="center"/>
                    <w:rPr>
                      <w:kern w:val="0"/>
                      <w:szCs w:val="21"/>
                    </w:rPr>
                  </w:pPr>
                  <w:r>
                    <w:rPr>
                      <w:rFonts w:eastAsia="TimesNewRomanPSMT"/>
                      <w:kern w:val="0"/>
                      <w:szCs w:val="21"/>
                    </w:rPr>
                    <w:t>0.025~0.043</w:t>
                  </w:r>
                </w:p>
              </w:tc>
              <w:tc>
                <w:tcPr>
                  <w:tcW w:w="931" w:type="dxa"/>
                  <w:vAlign w:val="center"/>
                </w:tcPr>
                <w:p>
                  <w:pPr>
                    <w:widowControl/>
                    <w:jc w:val="center"/>
                    <w:rPr>
                      <w:kern w:val="0"/>
                      <w:szCs w:val="21"/>
                    </w:rPr>
                  </w:pPr>
                  <w:r>
                    <w:rPr>
                      <w:kern w:val="0"/>
                      <w:szCs w:val="21"/>
                    </w:rPr>
                    <w:t>0</w:t>
                  </w:r>
                </w:p>
              </w:tc>
              <w:tc>
                <w:tcPr>
                  <w:tcW w:w="1176" w:type="dxa"/>
                  <w:vAlign w:val="center"/>
                </w:tcPr>
                <w:p>
                  <w:pPr>
                    <w:widowControl/>
                    <w:jc w:val="center"/>
                    <w:rPr>
                      <w:kern w:val="0"/>
                      <w:szCs w:val="21"/>
                    </w:rPr>
                  </w:pPr>
                  <w:r>
                    <w:rPr>
                      <w:kern w:val="0"/>
                      <w:szCs w:val="21"/>
                    </w:rPr>
                    <w:t>0.086</w:t>
                  </w:r>
                </w:p>
              </w:tc>
              <w:tc>
                <w:tcPr>
                  <w:tcW w:w="1170" w:type="dxa"/>
                  <w:vAlign w:val="center"/>
                </w:tcPr>
                <w:p>
                  <w:pPr>
                    <w:widowControl/>
                    <w:jc w:val="center"/>
                    <w:rPr>
                      <w:kern w:val="0"/>
                      <w:szCs w:val="21"/>
                    </w:rPr>
                  </w:pPr>
                  <w:r>
                    <w:rPr>
                      <w:rFonts w:eastAsia="TimesNewRomanPSMT"/>
                      <w:kern w:val="0"/>
                      <w:szCs w:val="21"/>
                    </w:rPr>
                    <w:t>0.031~0.035</w:t>
                  </w:r>
                </w:p>
              </w:tc>
              <w:tc>
                <w:tcPr>
                  <w:tcW w:w="1170" w:type="dxa"/>
                  <w:vAlign w:val="center"/>
                </w:tcPr>
                <w:p>
                  <w:pPr>
                    <w:widowControl/>
                    <w:jc w:val="center"/>
                    <w:rPr>
                      <w:rFonts w:eastAsia="TimesNewRomanPSMT"/>
                      <w:kern w:val="0"/>
                      <w:szCs w:val="21"/>
                    </w:rPr>
                  </w:pPr>
                  <w:r>
                    <w:rPr>
                      <w:rFonts w:eastAsia="TimesNewRomanPSMT"/>
                      <w:kern w:val="0"/>
                      <w:szCs w:val="21"/>
                    </w:rPr>
                    <w:t>0</w:t>
                  </w:r>
                </w:p>
              </w:tc>
              <w:tc>
                <w:tcPr>
                  <w:tcW w:w="1161" w:type="dxa"/>
                  <w:vAlign w:val="center"/>
                </w:tcPr>
                <w:p>
                  <w:pPr>
                    <w:widowControl/>
                    <w:jc w:val="center"/>
                    <w:rPr>
                      <w:rFonts w:eastAsia="TimesNewRomanPSMT"/>
                      <w:kern w:val="0"/>
                      <w:szCs w:val="21"/>
                    </w:rPr>
                  </w:pPr>
                  <w:r>
                    <w:rPr>
                      <w:rFonts w:eastAsia="TimesNewRomanPSMT"/>
                      <w:kern w:val="0"/>
                      <w:szCs w:val="21"/>
                    </w:rPr>
                    <w:t>0.233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restart"/>
                  <w:vAlign w:val="center"/>
                </w:tcPr>
                <w:p>
                  <w:pPr>
                    <w:jc w:val="center"/>
                    <w:rPr>
                      <w:kern w:val="24"/>
                      <w:szCs w:val="21"/>
                    </w:rPr>
                  </w:pPr>
                  <w:r>
                    <w:rPr>
                      <w:kern w:val="24"/>
                      <w:szCs w:val="21"/>
                    </w:rPr>
                    <w:t>NO</w:t>
                  </w:r>
                  <w:r>
                    <w:rPr>
                      <w:kern w:val="24"/>
                      <w:szCs w:val="21"/>
                      <w:vertAlign w:val="subscript"/>
                    </w:rPr>
                    <w:t>2</w:t>
                  </w:r>
                </w:p>
              </w:tc>
              <w:tc>
                <w:tcPr>
                  <w:tcW w:w="982" w:type="dxa"/>
                  <w:vAlign w:val="center"/>
                </w:tcPr>
                <w:p>
                  <w:pPr>
                    <w:adjustRightInd w:val="0"/>
                    <w:snapToGrid w:val="0"/>
                    <w:jc w:val="center"/>
                    <w:rPr>
                      <w:snapToGrid w:val="0"/>
                      <w:szCs w:val="21"/>
                    </w:rPr>
                  </w:pPr>
                  <w:r>
                    <w:rPr>
                      <w:szCs w:val="21"/>
                    </w:rPr>
                    <w:t>明发浦泰板桥锦东</w:t>
                  </w:r>
                </w:p>
              </w:tc>
              <w:tc>
                <w:tcPr>
                  <w:tcW w:w="1133" w:type="dxa"/>
                  <w:vAlign w:val="center"/>
                </w:tcPr>
                <w:p>
                  <w:pPr>
                    <w:widowControl/>
                    <w:jc w:val="center"/>
                    <w:rPr>
                      <w:kern w:val="0"/>
                      <w:szCs w:val="21"/>
                    </w:rPr>
                  </w:pPr>
                  <w:r>
                    <w:rPr>
                      <w:rFonts w:eastAsia="TimesNewRomanPSMT"/>
                      <w:kern w:val="0"/>
                      <w:szCs w:val="21"/>
                    </w:rPr>
                    <w:t>0.021~0.035</w:t>
                  </w:r>
                </w:p>
              </w:tc>
              <w:tc>
                <w:tcPr>
                  <w:tcW w:w="931" w:type="dxa"/>
                  <w:vAlign w:val="center"/>
                </w:tcPr>
                <w:p>
                  <w:pPr>
                    <w:widowControl/>
                    <w:jc w:val="center"/>
                    <w:rPr>
                      <w:kern w:val="0"/>
                      <w:szCs w:val="21"/>
                    </w:rPr>
                  </w:pPr>
                  <w:r>
                    <w:rPr>
                      <w:kern w:val="0"/>
                      <w:szCs w:val="21"/>
                    </w:rPr>
                    <w:t>0</w:t>
                  </w:r>
                </w:p>
              </w:tc>
              <w:tc>
                <w:tcPr>
                  <w:tcW w:w="1176" w:type="dxa"/>
                  <w:vAlign w:val="center"/>
                </w:tcPr>
                <w:p>
                  <w:pPr>
                    <w:widowControl/>
                    <w:jc w:val="center"/>
                    <w:rPr>
                      <w:kern w:val="0"/>
                      <w:szCs w:val="21"/>
                    </w:rPr>
                  </w:pPr>
                  <w:r>
                    <w:rPr>
                      <w:kern w:val="0"/>
                      <w:szCs w:val="21"/>
                    </w:rPr>
                    <w:t>0.175</w:t>
                  </w:r>
                </w:p>
              </w:tc>
              <w:tc>
                <w:tcPr>
                  <w:tcW w:w="1170" w:type="dxa"/>
                  <w:vAlign w:val="center"/>
                </w:tcPr>
                <w:p>
                  <w:pPr>
                    <w:widowControl/>
                    <w:jc w:val="center"/>
                    <w:rPr>
                      <w:kern w:val="0"/>
                      <w:szCs w:val="21"/>
                    </w:rPr>
                  </w:pPr>
                  <w:r>
                    <w:rPr>
                      <w:rFonts w:eastAsia="TimesNewRomanPSMT"/>
                      <w:kern w:val="0"/>
                      <w:szCs w:val="21"/>
                    </w:rPr>
                    <w:t>0.024~0.028</w:t>
                  </w:r>
                </w:p>
              </w:tc>
              <w:tc>
                <w:tcPr>
                  <w:tcW w:w="1170" w:type="dxa"/>
                  <w:vAlign w:val="center"/>
                </w:tcPr>
                <w:p>
                  <w:pPr>
                    <w:widowControl/>
                    <w:jc w:val="center"/>
                    <w:rPr>
                      <w:rFonts w:eastAsia="TimesNewRomanPSMT"/>
                      <w:kern w:val="0"/>
                      <w:szCs w:val="21"/>
                    </w:rPr>
                  </w:pPr>
                  <w:r>
                    <w:rPr>
                      <w:rFonts w:eastAsia="TimesNewRomanPSMT"/>
                      <w:kern w:val="0"/>
                      <w:szCs w:val="21"/>
                    </w:rPr>
                    <w:t>0</w:t>
                  </w:r>
                </w:p>
              </w:tc>
              <w:tc>
                <w:tcPr>
                  <w:tcW w:w="1161" w:type="dxa"/>
                  <w:vAlign w:val="center"/>
                </w:tcPr>
                <w:p>
                  <w:pPr>
                    <w:widowControl/>
                    <w:jc w:val="center"/>
                    <w:rPr>
                      <w:rFonts w:eastAsia="TimesNewRomanPSMT"/>
                      <w:kern w:val="0"/>
                      <w:szCs w:val="21"/>
                    </w:rPr>
                  </w:pPr>
                  <w:r>
                    <w:rPr>
                      <w:rFonts w:eastAsia="TimesNewRomanPSMT"/>
                      <w:kern w:val="0"/>
                      <w:szCs w:val="21"/>
                    </w:rPr>
                    <w:t>0.344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continue"/>
                  <w:vAlign w:val="center"/>
                </w:tcPr>
                <w:p>
                  <w:pPr>
                    <w:overflowPunct w:val="0"/>
                    <w:snapToGrid w:val="0"/>
                    <w:jc w:val="center"/>
                    <w:rPr>
                      <w:kern w:val="0"/>
                      <w:szCs w:val="21"/>
                    </w:rPr>
                  </w:pPr>
                </w:p>
              </w:tc>
              <w:tc>
                <w:tcPr>
                  <w:tcW w:w="982" w:type="dxa"/>
                  <w:vAlign w:val="center"/>
                </w:tcPr>
                <w:p>
                  <w:pPr>
                    <w:adjustRightInd w:val="0"/>
                    <w:snapToGrid w:val="0"/>
                    <w:jc w:val="center"/>
                    <w:rPr>
                      <w:snapToGrid w:val="0"/>
                      <w:szCs w:val="21"/>
                    </w:rPr>
                  </w:pPr>
                  <w:r>
                    <w:rPr>
                      <w:snapToGrid w:val="0"/>
                      <w:szCs w:val="21"/>
                    </w:rPr>
                    <w:t>人才公寓</w:t>
                  </w:r>
                </w:p>
              </w:tc>
              <w:tc>
                <w:tcPr>
                  <w:tcW w:w="1133" w:type="dxa"/>
                  <w:vAlign w:val="center"/>
                </w:tcPr>
                <w:p>
                  <w:pPr>
                    <w:widowControl/>
                    <w:jc w:val="center"/>
                    <w:rPr>
                      <w:kern w:val="0"/>
                      <w:szCs w:val="21"/>
                    </w:rPr>
                  </w:pPr>
                  <w:r>
                    <w:rPr>
                      <w:rFonts w:eastAsia="TimesNewRomanPSMT"/>
                      <w:kern w:val="0"/>
                      <w:szCs w:val="21"/>
                    </w:rPr>
                    <w:t>0.02~0.034</w:t>
                  </w:r>
                </w:p>
              </w:tc>
              <w:tc>
                <w:tcPr>
                  <w:tcW w:w="931" w:type="dxa"/>
                  <w:vAlign w:val="center"/>
                </w:tcPr>
                <w:p>
                  <w:pPr>
                    <w:widowControl/>
                    <w:jc w:val="center"/>
                    <w:rPr>
                      <w:kern w:val="0"/>
                      <w:szCs w:val="21"/>
                    </w:rPr>
                  </w:pPr>
                  <w:r>
                    <w:rPr>
                      <w:kern w:val="0"/>
                      <w:szCs w:val="21"/>
                    </w:rPr>
                    <w:t>0</w:t>
                  </w:r>
                </w:p>
              </w:tc>
              <w:tc>
                <w:tcPr>
                  <w:tcW w:w="1176" w:type="dxa"/>
                  <w:vAlign w:val="center"/>
                </w:tcPr>
                <w:p>
                  <w:pPr>
                    <w:widowControl/>
                    <w:jc w:val="center"/>
                    <w:rPr>
                      <w:kern w:val="0"/>
                      <w:szCs w:val="21"/>
                    </w:rPr>
                  </w:pPr>
                  <w:r>
                    <w:rPr>
                      <w:kern w:val="0"/>
                      <w:szCs w:val="21"/>
                    </w:rPr>
                    <w:t>0.170</w:t>
                  </w:r>
                </w:p>
              </w:tc>
              <w:tc>
                <w:tcPr>
                  <w:tcW w:w="1170" w:type="dxa"/>
                  <w:vAlign w:val="center"/>
                </w:tcPr>
                <w:p>
                  <w:pPr>
                    <w:widowControl/>
                    <w:jc w:val="center"/>
                    <w:rPr>
                      <w:kern w:val="0"/>
                      <w:szCs w:val="21"/>
                    </w:rPr>
                  </w:pPr>
                  <w:r>
                    <w:rPr>
                      <w:rFonts w:eastAsia="TimesNewRomanPSMT"/>
                      <w:kern w:val="0"/>
                      <w:szCs w:val="21"/>
                    </w:rPr>
                    <w:t>0.024~0.029</w:t>
                  </w:r>
                </w:p>
              </w:tc>
              <w:tc>
                <w:tcPr>
                  <w:tcW w:w="1170" w:type="dxa"/>
                  <w:vAlign w:val="center"/>
                </w:tcPr>
                <w:p>
                  <w:pPr>
                    <w:widowControl/>
                    <w:jc w:val="center"/>
                    <w:rPr>
                      <w:rFonts w:eastAsia="TimesNewRomanPSMT"/>
                      <w:kern w:val="0"/>
                      <w:szCs w:val="21"/>
                    </w:rPr>
                  </w:pPr>
                  <w:r>
                    <w:rPr>
                      <w:rFonts w:eastAsia="TimesNewRomanPSMT"/>
                      <w:kern w:val="0"/>
                      <w:szCs w:val="21"/>
                    </w:rPr>
                    <w:t>0</w:t>
                  </w:r>
                </w:p>
              </w:tc>
              <w:tc>
                <w:tcPr>
                  <w:tcW w:w="1161" w:type="dxa"/>
                  <w:vAlign w:val="center"/>
                </w:tcPr>
                <w:p>
                  <w:pPr>
                    <w:widowControl/>
                    <w:jc w:val="center"/>
                    <w:rPr>
                      <w:rFonts w:eastAsia="TimesNewRomanPSMT"/>
                      <w:kern w:val="0"/>
                      <w:szCs w:val="21"/>
                    </w:rPr>
                  </w:pPr>
                  <w:r>
                    <w:rPr>
                      <w:rFonts w:eastAsia="TimesNewRomanPSMT"/>
                      <w:kern w:val="0"/>
                      <w:szCs w:val="21"/>
                    </w:rPr>
                    <w:t>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restart"/>
                  <w:vAlign w:val="center"/>
                </w:tcPr>
                <w:p>
                  <w:pPr>
                    <w:jc w:val="center"/>
                    <w:rPr>
                      <w:szCs w:val="21"/>
                    </w:rPr>
                  </w:pPr>
                  <w:r>
                    <w:rPr>
                      <w:szCs w:val="21"/>
                    </w:rPr>
                    <w:t>PM</w:t>
                  </w:r>
                  <w:r>
                    <w:rPr>
                      <w:szCs w:val="21"/>
                      <w:vertAlign w:val="subscript"/>
                    </w:rPr>
                    <w:t>10</w:t>
                  </w:r>
                </w:p>
              </w:tc>
              <w:tc>
                <w:tcPr>
                  <w:tcW w:w="982" w:type="dxa"/>
                  <w:vAlign w:val="center"/>
                </w:tcPr>
                <w:p>
                  <w:pPr>
                    <w:adjustRightInd w:val="0"/>
                    <w:snapToGrid w:val="0"/>
                    <w:jc w:val="center"/>
                    <w:rPr>
                      <w:snapToGrid w:val="0"/>
                      <w:szCs w:val="21"/>
                    </w:rPr>
                  </w:pPr>
                  <w:r>
                    <w:rPr>
                      <w:szCs w:val="21"/>
                    </w:rPr>
                    <w:t>明发浦泰板桥锦东</w:t>
                  </w:r>
                </w:p>
              </w:tc>
              <w:tc>
                <w:tcPr>
                  <w:tcW w:w="1133" w:type="dxa"/>
                  <w:vAlign w:val="center"/>
                </w:tcPr>
                <w:p>
                  <w:pPr>
                    <w:overflowPunct w:val="0"/>
                    <w:snapToGrid w:val="0"/>
                    <w:jc w:val="center"/>
                    <w:rPr>
                      <w:kern w:val="0"/>
                      <w:szCs w:val="21"/>
                    </w:rPr>
                  </w:pPr>
                  <w:r>
                    <w:rPr>
                      <w:kern w:val="0"/>
                      <w:szCs w:val="21"/>
                    </w:rPr>
                    <w:t>／</w:t>
                  </w:r>
                </w:p>
              </w:tc>
              <w:tc>
                <w:tcPr>
                  <w:tcW w:w="931" w:type="dxa"/>
                  <w:vAlign w:val="center"/>
                </w:tcPr>
                <w:p>
                  <w:pPr>
                    <w:overflowPunct w:val="0"/>
                    <w:snapToGrid w:val="0"/>
                    <w:jc w:val="center"/>
                    <w:rPr>
                      <w:kern w:val="0"/>
                      <w:szCs w:val="21"/>
                    </w:rPr>
                  </w:pPr>
                  <w:r>
                    <w:rPr>
                      <w:kern w:val="0"/>
                      <w:szCs w:val="21"/>
                    </w:rPr>
                    <w:t>／</w:t>
                  </w:r>
                </w:p>
              </w:tc>
              <w:tc>
                <w:tcPr>
                  <w:tcW w:w="1176" w:type="dxa"/>
                  <w:vAlign w:val="center"/>
                </w:tcPr>
                <w:p>
                  <w:pPr>
                    <w:overflowPunct w:val="0"/>
                    <w:snapToGrid w:val="0"/>
                    <w:jc w:val="center"/>
                    <w:rPr>
                      <w:kern w:val="0"/>
                      <w:szCs w:val="21"/>
                    </w:rPr>
                  </w:pPr>
                  <w:r>
                    <w:rPr>
                      <w:kern w:val="0"/>
                      <w:szCs w:val="21"/>
                    </w:rPr>
                    <w:t>／</w:t>
                  </w:r>
                </w:p>
              </w:tc>
              <w:tc>
                <w:tcPr>
                  <w:tcW w:w="1170" w:type="dxa"/>
                  <w:vAlign w:val="center"/>
                </w:tcPr>
                <w:p>
                  <w:pPr>
                    <w:widowControl/>
                    <w:jc w:val="center"/>
                    <w:rPr>
                      <w:kern w:val="0"/>
                      <w:szCs w:val="21"/>
                    </w:rPr>
                  </w:pPr>
                  <w:r>
                    <w:rPr>
                      <w:rFonts w:eastAsia="TimesNewRomanPSMT"/>
                      <w:kern w:val="0"/>
                      <w:szCs w:val="21"/>
                    </w:rPr>
                    <w:t>0.109~0.123</w:t>
                  </w:r>
                </w:p>
              </w:tc>
              <w:tc>
                <w:tcPr>
                  <w:tcW w:w="1170" w:type="dxa"/>
                  <w:vAlign w:val="center"/>
                </w:tcPr>
                <w:p>
                  <w:pPr>
                    <w:widowControl/>
                    <w:jc w:val="center"/>
                    <w:rPr>
                      <w:rFonts w:eastAsia="TimesNewRomanPSMT"/>
                      <w:kern w:val="0"/>
                      <w:szCs w:val="21"/>
                    </w:rPr>
                  </w:pPr>
                  <w:r>
                    <w:rPr>
                      <w:rFonts w:eastAsia="TimesNewRomanPSMT"/>
                      <w:kern w:val="0"/>
                      <w:szCs w:val="21"/>
                    </w:rPr>
                    <w:t>0</w:t>
                  </w:r>
                </w:p>
              </w:tc>
              <w:tc>
                <w:tcPr>
                  <w:tcW w:w="1161" w:type="dxa"/>
                  <w:vAlign w:val="center"/>
                </w:tcPr>
                <w:p>
                  <w:pPr>
                    <w:widowControl/>
                    <w:jc w:val="center"/>
                    <w:rPr>
                      <w:rFonts w:eastAsia="TimesNewRomanPSMT"/>
                      <w:kern w:val="0"/>
                      <w:szCs w:val="21"/>
                    </w:rPr>
                  </w:pPr>
                  <w:r>
                    <w:rPr>
                      <w:rFonts w:eastAsia="TimesNewRomanPSMT"/>
                      <w:kern w:val="0"/>
                      <w:szCs w:val="21"/>
                    </w:rPr>
                    <w:t>0.820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0" w:hRule="atLeast"/>
                <w:jc w:val="center"/>
              </w:trPr>
              <w:tc>
                <w:tcPr>
                  <w:tcW w:w="573" w:type="dxa"/>
                  <w:vMerge w:val="continue"/>
                  <w:vAlign w:val="center"/>
                </w:tcPr>
                <w:p>
                  <w:pPr>
                    <w:overflowPunct w:val="0"/>
                    <w:snapToGrid w:val="0"/>
                    <w:jc w:val="center"/>
                    <w:rPr>
                      <w:kern w:val="0"/>
                      <w:szCs w:val="21"/>
                    </w:rPr>
                  </w:pPr>
                </w:p>
              </w:tc>
              <w:tc>
                <w:tcPr>
                  <w:tcW w:w="982" w:type="dxa"/>
                  <w:vAlign w:val="center"/>
                </w:tcPr>
                <w:p>
                  <w:pPr>
                    <w:adjustRightInd w:val="0"/>
                    <w:snapToGrid w:val="0"/>
                    <w:jc w:val="center"/>
                    <w:rPr>
                      <w:snapToGrid w:val="0"/>
                      <w:szCs w:val="21"/>
                    </w:rPr>
                  </w:pPr>
                  <w:r>
                    <w:rPr>
                      <w:snapToGrid w:val="0"/>
                      <w:szCs w:val="21"/>
                    </w:rPr>
                    <w:t>人才公寓</w:t>
                  </w:r>
                </w:p>
              </w:tc>
              <w:tc>
                <w:tcPr>
                  <w:tcW w:w="1133" w:type="dxa"/>
                  <w:vAlign w:val="center"/>
                </w:tcPr>
                <w:p>
                  <w:pPr>
                    <w:overflowPunct w:val="0"/>
                    <w:snapToGrid w:val="0"/>
                    <w:jc w:val="center"/>
                    <w:rPr>
                      <w:kern w:val="0"/>
                      <w:szCs w:val="21"/>
                    </w:rPr>
                  </w:pPr>
                  <w:r>
                    <w:rPr>
                      <w:kern w:val="0"/>
                      <w:szCs w:val="21"/>
                    </w:rPr>
                    <w:t>／</w:t>
                  </w:r>
                </w:p>
              </w:tc>
              <w:tc>
                <w:tcPr>
                  <w:tcW w:w="931" w:type="dxa"/>
                  <w:vAlign w:val="center"/>
                </w:tcPr>
                <w:p>
                  <w:pPr>
                    <w:overflowPunct w:val="0"/>
                    <w:snapToGrid w:val="0"/>
                    <w:jc w:val="center"/>
                    <w:rPr>
                      <w:kern w:val="0"/>
                      <w:szCs w:val="21"/>
                    </w:rPr>
                  </w:pPr>
                  <w:r>
                    <w:rPr>
                      <w:kern w:val="0"/>
                      <w:szCs w:val="21"/>
                    </w:rPr>
                    <w:t>／</w:t>
                  </w:r>
                </w:p>
              </w:tc>
              <w:tc>
                <w:tcPr>
                  <w:tcW w:w="1176" w:type="dxa"/>
                  <w:vAlign w:val="center"/>
                </w:tcPr>
                <w:p>
                  <w:pPr>
                    <w:overflowPunct w:val="0"/>
                    <w:snapToGrid w:val="0"/>
                    <w:jc w:val="center"/>
                    <w:rPr>
                      <w:kern w:val="0"/>
                      <w:szCs w:val="21"/>
                    </w:rPr>
                  </w:pPr>
                  <w:r>
                    <w:rPr>
                      <w:kern w:val="0"/>
                      <w:szCs w:val="21"/>
                    </w:rPr>
                    <w:t>／</w:t>
                  </w:r>
                </w:p>
              </w:tc>
              <w:tc>
                <w:tcPr>
                  <w:tcW w:w="1170" w:type="dxa"/>
                  <w:vAlign w:val="center"/>
                </w:tcPr>
                <w:p>
                  <w:pPr>
                    <w:widowControl/>
                    <w:jc w:val="center"/>
                    <w:rPr>
                      <w:kern w:val="0"/>
                      <w:szCs w:val="21"/>
                    </w:rPr>
                  </w:pPr>
                  <w:r>
                    <w:rPr>
                      <w:rFonts w:eastAsia="TimesNewRomanPSMT"/>
                      <w:kern w:val="0"/>
                      <w:szCs w:val="21"/>
                    </w:rPr>
                    <w:t>0.116~0.125</w:t>
                  </w:r>
                </w:p>
              </w:tc>
              <w:tc>
                <w:tcPr>
                  <w:tcW w:w="1170" w:type="dxa"/>
                  <w:vAlign w:val="center"/>
                </w:tcPr>
                <w:p>
                  <w:pPr>
                    <w:widowControl/>
                    <w:jc w:val="center"/>
                    <w:rPr>
                      <w:kern w:val="0"/>
                      <w:szCs w:val="21"/>
                    </w:rPr>
                  </w:pPr>
                  <w:r>
                    <w:rPr>
                      <w:kern w:val="0"/>
                      <w:szCs w:val="21"/>
                    </w:rPr>
                    <w:t>0</w:t>
                  </w:r>
                </w:p>
              </w:tc>
              <w:tc>
                <w:tcPr>
                  <w:tcW w:w="1161" w:type="dxa"/>
                  <w:vAlign w:val="center"/>
                </w:tcPr>
                <w:p>
                  <w:pPr>
                    <w:widowControl/>
                    <w:jc w:val="center"/>
                    <w:rPr>
                      <w:kern w:val="0"/>
                      <w:szCs w:val="21"/>
                    </w:rPr>
                  </w:pPr>
                  <w:r>
                    <w:rPr>
                      <w:kern w:val="0"/>
                      <w:szCs w:val="21"/>
                    </w:rPr>
                    <w:t>0.833</w:t>
                  </w:r>
                </w:p>
              </w:tc>
            </w:tr>
          </w:tbl>
          <w:p>
            <w:pPr>
              <w:spacing w:line="440" w:lineRule="exact"/>
              <w:ind w:firstLine="480" w:firstLineChars="200"/>
              <w:rPr>
                <w:kern w:val="0"/>
                <w:sz w:val="24"/>
              </w:rPr>
            </w:pPr>
            <w:r>
              <w:rPr>
                <w:sz w:val="24"/>
              </w:rPr>
              <w:t>由上表可知，项目所在区域各项监测因子指标能达到《环境空气质量标准》（GB3095-2012）表中的二类区标准，项目所在区域环境空气质量良好。</w:t>
            </w:r>
          </w:p>
          <w:p>
            <w:pPr>
              <w:spacing w:line="440" w:lineRule="exact"/>
              <w:ind w:firstLine="482" w:firstLineChars="200"/>
              <w:rPr>
                <w:b/>
                <w:bCs/>
                <w:kern w:val="0"/>
                <w:sz w:val="24"/>
              </w:rPr>
            </w:pPr>
            <w:r>
              <w:rPr>
                <w:b/>
                <w:bCs/>
                <w:kern w:val="0"/>
                <w:sz w:val="24"/>
              </w:rPr>
              <w:t>二、地表水环境质量现状：</w:t>
            </w:r>
          </w:p>
          <w:p>
            <w:pPr>
              <w:spacing w:line="440" w:lineRule="exact"/>
              <w:ind w:firstLine="480" w:firstLineChars="200"/>
              <w:rPr>
                <w:sz w:val="24"/>
              </w:rPr>
            </w:pPr>
            <w:r>
              <w:rPr>
                <w:sz w:val="24"/>
              </w:rPr>
              <w:t>根据《2013年南京市环境状况公报》，长江南京段水质稳定，除总磷超标0.15倍以外其它主要污染指标高锰酸盐指数、生化需氧量、氨氮和石油类各项指标均达到规划功能</w:t>
            </w:r>
            <w:r>
              <w:rPr>
                <w:rFonts w:hint="eastAsia" w:ascii="宋体" w:hAnsi="宋体" w:cs="宋体"/>
                <w:sz w:val="24"/>
              </w:rPr>
              <w:t>Ⅱ</w:t>
            </w:r>
            <w:r>
              <w:rPr>
                <w:sz w:val="24"/>
              </w:rPr>
              <w:t>类水质标准。</w:t>
            </w:r>
          </w:p>
          <w:p>
            <w:pPr>
              <w:spacing w:line="440" w:lineRule="exact"/>
              <w:ind w:firstLine="482" w:firstLineChars="200"/>
              <w:rPr>
                <w:b/>
                <w:bCs/>
                <w:kern w:val="0"/>
                <w:sz w:val="24"/>
              </w:rPr>
            </w:pPr>
            <w:r>
              <w:rPr>
                <w:b/>
                <w:bCs/>
                <w:kern w:val="0"/>
                <w:sz w:val="24"/>
              </w:rPr>
              <w:t>三、地下水环境质量现状：</w:t>
            </w:r>
          </w:p>
          <w:p>
            <w:pPr>
              <w:spacing w:line="440" w:lineRule="exact"/>
              <w:ind w:firstLine="480" w:firstLineChars="200"/>
              <w:rPr>
                <w:sz w:val="24"/>
              </w:rPr>
            </w:pPr>
            <w:r>
              <w:rPr>
                <w:sz w:val="24"/>
              </w:rPr>
              <w:t>本次地下水环境质量现状监测引用（2015）力维（环）字4078号《南京明发浦泰置业有限公司南京明发浦泰板桥锦东地块环评项目》中的监测数据。监测时间为2015年4月15日。地下水环境质量监测结果见表。</w:t>
            </w:r>
          </w:p>
          <w:p>
            <w:pPr>
              <w:spacing w:line="440" w:lineRule="exact"/>
              <w:ind w:firstLine="480" w:firstLineChars="200"/>
              <w:rPr>
                <w:sz w:val="24"/>
              </w:rPr>
            </w:pPr>
          </w:p>
          <w:p>
            <w:pPr>
              <w:spacing w:line="440" w:lineRule="exact"/>
              <w:ind w:firstLine="480" w:firstLineChars="200"/>
              <w:rPr>
                <w:sz w:val="24"/>
              </w:rPr>
            </w:pPr>
          </w:p>
          <w:p>
            <w:pPr>
              <w:adjustRightInd w:val="0"/>
              <w:snapToGrid w:val="0"/>
              <w:ind w:firstLine="480" w:firstLineChars="200"/>
              <w:jc w:val="center"/>
              <w:rPr>
                <w:rFonts w:hint="eastAsia"/>
                <w:sz w:val="24"/>
              </w:rPr>
            </w:pPr>
          </w:p>
          <w:p>
            <w:pPr>
              <w:adjustRightInd w:val="0"/>
              <w:snapToGrid w:val="0"/>
              <w:ind w:firstLine="422" w:firstLineChars="200"/>
              <w:jc w:val="center"/>
              <w:rPr>
                <w:b/>
              </w:rPr>
            </w:pPr>
            <w:r>
              <w:rPr>
                <w:b/>
              </w:rPr>
              <w:t>表4-2评价区地下水监测结果 （pH无量纲，其它均为mg/L）</w:t>
            </w:r>
          </w:p>
          <w:tbl>
            <w:tblPr>
              <w:tblStyle w:val="3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9"/>
              <w:gridCol w:w="1520"/>
              <w:gridCol w:w="760"/>
              <w:gridCol w:w="1520"/>
              <w:gridCol w:w="664"/>
              <w:gridCol w:w="1457"/>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Merge w:val="restart"/>
                  <w:tcBorders>
                    <w:tl2br w:val="single" w:color="auto" w:sz="4" w:space="0"/>
                  </w:tcBorders>
                  <w:vAlign w:val="center"/>
                </w:tcPr>
                <w:p>
                  <w:pPr>
                    <w:snapToGrid w:val="0"/>
                    <w:jc w:val="center"/>
                    <w:rPr>
                      <w:szCs w:val="21"/>
                    </w:rPr>
                  </w:pPr>
                  <w:r>
                    <w:rPr>
                      <w:szCs w:val="21"/>
                    </w:rPr>
                    <w:t xml:space="preserve">      点位</w:t>
                  </w:r>
                </w:p>
                <w:p>
                  <w:pPr>
                    <w:snapToGrid w:val="0"/>
                    <w:rPr>
                      <w:szCs w:val="21"/>
                    </w:rPr>
                  </w:pPr>
                  <w:r>
                    <w:rPr>
                      <w:szCs w:val="21"/>
                    </w:rPr>
                    <w:t>项目</w:t>
                  </w:r>
                </w:p>
              </w:tc>
              <w:tc>
                <w:tcPr>
                  <w:tcW w:w="2280" w:type="dxa"/>
                  <w:gridSpan w:val="2"/>
                  <w:vAlign w:val="center"/>
                </w:tcPr>
                <w:p>
                  <w:pPr>
                    <w:snapToGrid w:val="0"/>
                    <w:jc w:val="center"/>
                    <w:rPr>
                      <w:szCs w:val="21"/>
                    </w:rPr>
                  </w:pPr>
                  <w:r>
                    <w:rPr>
                      <w:rFonts w:hint="eastAsia"/>
                      <w:szCs w:val="21"/>
                    </w:rPr>
                    <w:t>王胜村</w:t>
                  </w:r>
                </w:p>
              </w:tc>
              <w:tc>
                <w:tcPr>
                  <w:tcW w:w="2184" w:type="dxa"/>
                  <w:gridSpan w:val="2"/>
                  <w:vAlign w:val="center"/>
                </w:tcPr>
                <w:p>
                  <w:pPr>
                    <w:snapToGrid w:val="0"/>
                    <w:jc w:val="center"/>
                    <w:rPr>
                      <w:szCs w:val="21"/>
                    </w:rPr>
                  </w:pPr>
                  <w:r>
                    <w:rPr>
                      <w:szCs w:val="21"/>
                    </w:rPr>
                    <w:t>明发浦泰板桥锦东</w:t>
                  </w:r>
                </w:p>
              </w:tc>
              <w:tc>
                <w:tcPr>
                  <w:tcW w:w="2343" w:type="dxa"/>
                  <w:gridSpan w:val="2"/>
                  <w:vAlign w:val="center"/>
                </w:tcPr>
                <w:p>
                  <w:pPr>
                    <w:snapToGrid w:val="0"/>
                    <w:jc w:val="center"/>
                    <w:rPr>
                      <w:szCs w:val="21"/>
                    </w:rPr>
                  </w:pPr>
                  <w:r>
                    <w:rPr>
                      <w:szCs w:val="21"/>
                    </w:rPr>
                    <w:t>黄家凹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Merge w:val="continue"/>
                  <w:tcBorders>
                    <w:tl2br w:val="single" w:color="auto" w:sz="4" w:space="0"/>
                  </w:tcBorders>
                  <w:vAlign w:val="center"/>
                </w:tcPr>
                <w:p>
                  <w:pPr>
                    <w:snapToGrid w:val="0"/>
                    <w:jc w:val="center"/>
                    <w:rPr>
                      <w:szCs w:val="21"/>
                    </w:rPr>
                  </w:pPr>
                </w:p>
              </w:tc>
              <w:tc>
                <w:tcPr>
                  <w:tcW w:w="1520" w:type="dxa"/>
                  <w:vAlign w:val="center"/>
                </w:tcPr>
                <w:p>
                  <w:pPr>
                    <w:snapToGrid w:val="0"/>
                    <w:jc w:val="center"/>
                    <w:rPr>
                      <w:szCs w:val="21"/>
                    </w:rPr>
                  </w:pPr>
                  <w:r>
                    <w:rPr>
                      <w:szCs w:val="21"/>
                    </w:rPr>
                    <w:t>监测值</w:t>
                  </w:r>
                </w:p>
              </w:tc>
              <w:tc>
                <w:tcPr>
                  <w:tcW w:w="760" w:type="dxa"/>
                  <w:vAlign w:val="center"/>
                </w:tcPr>
                <w:p>
                  <w:pPr>
                    <w:snapToGrid w:val="0"/>
                    <w:jc w:val="center"/>
                    <w:rPr>
                      <w:szCs w:val="21"/>
                    </w:rPr>
                  </w:pPr>
                  <w:r>
                    <w:rPr>
                      <w:szCs w:val="21"/>
                    </w:rPr>
                    <w:t>类别</w:t>
                  </w:r>
                </w:p>
              </w:tc>
              <w:tc>
                <w:tcPr>
                  <w:tcW w:w="1520" w:type="dxa"/>
                  <w:vAlign w:val="center"/>
                </w:tcPr>
                <w:p>
                  <w:pPr>
                    <w:snapToGrid w:val="0"/>
                    <w:jc w:val="center"/>
                    <w:rPr>
                      <w:szCs w:val="21"/>
                    </w:rPr>
                  </w:pPr>
                  <w:r>
                    <w:rPr>
                      <w:szCs w:val="21"/>
                    </w:rPr>
                    <w:t>监</w:t>
                  </w:r>
                  <w:r>
                    <w:rPr>
                      <w:szCs w:val="21"/>
                    </w:rPr>
                    <w:cr/>
                  </w:r>
                  <w:r>
                    <w:rPr>
                      <w:szCs w:val="21"/>
                    </w:rPr>
                    <w:t>值</w:t>
                  </w:r>
                </w:p>
              </w:tc>
              <w:tc>
                <w:tcPr>
                  <w:tcW w:w="664" w:type="dxa"/>
                  <w:vAlign w:val="center"/>
                </w:tcPr>
                <w:p>
                  <w:pPr>
                    <w:snapToGrid w:val="0"/>
                    <w:jc w:val="center"/>
                    <w:rPr>
                      <w:szCs w:val="21"/>
                    </w:rPr>
                  </w:pPr>
                  <w:r>
                    <w:rPr>
                      <w:szCs w:val="21"/>
                    </w:rPr>
                    <w:t>类别</w:t>
                  </w:r>
                </w:p>
              </w:tc>
              <w:tc>
                <w:tcPr>
                  <w:tcW w:w="1457" w:type="dxa"/>
                  <w:vAlign w:val="center"/>
                </w:tcPr>
                <w:p>
                  <w:pPr>
                    <w:snapToGrid w:val="0"/>
                    <w:jc w:val="center"/>
                    <w:rPr>
                      <w:szCs w:val="21"/>
                    </w:rPr>
                  </w:pPr>
                  <w:r>
                    <w:rPr>
                      <w:szCs w:val="21"/>
                    </w:rPr>
                    <w:t>监测值</w:t>
                  </w:r>
                </w:p>
              </w:tc>
              <w:tc>
                <w:tcPr>
                  <w:tcW w:w="886" w:type="dxa"/>
                  <w:vAlign w:val="center"/>
                </w:tcPr>
                <w:p>
                  <w:pPr>
                    <w:snapToGrid w:val="0"/>
                    <w:jc w:val="center"/>
                    <w:rPr>
                      <w:szCs w:val="21"/>
                    </w:rPr>
                  </w:pPr>
                  <w:r>
                    <w:rPr>
                      <w:szCs w:val="21"/>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pH</w:t>
                  </w:r>
                </w:p>
              </w:tc>
              <w:tc>
                <w:tcPr>
                  <w:tcW w:w="1520" w:type="dxa"/>
                  <w:vAlign w:val="center"/>
                </w:tcPr>
                <w:p>
                  <w:pPr>
                    <w:widowControl/>
                    <w:jc w:val="center"/>
                    <w:rPr>
                      <w:rFonts w:eastAsia="仿宋_GB2312"/>
                      <w:kern w:val="0"/>
                      <w:szCs w:val="21"/>
                    </w:rPr>
                  </w:pPr>
                  <w:r>
                    <w:rPr>
                      <w:rFonts w:eastAsia="仿宋_GB2312"/>
                      <w:kern w:val="0"/>
                      <w:szCs w:val="21"/>
                    </w:rPr>
                    <w:t>7</w:t>
                  </w:r>
                  <w:r>
                    <w:rPr>
                      <w:rFonts w:hint="eastAsia" w:eastAsia="仿宋_GB2312"/>
                      <w:kern w:val="0"/>
                      <w:szCs w:val="21"/>
                    </w:rPr>
                    <w:t>.</w:t>
                  </w:r>
                  <w:r>
                    <w:rPr>
                      <w:rFonts w:eastAsia="仿宋_GB2312"/>
                      <w:kern w:val="0"/>
                      <w:szCs w:val="21"/>
                    </w:rPr>
                    <w:t>75</w:t>
                  </w:r>
                </w:p>
              </w:tc>
              <w:tc>
                <w:tcPr>
                  <w:tcW w:w="760" w:type="dxa"/>
                  <w:vAlign w:val="center"/>
                </w:tcPr>
                <w:p>
                  <w:pPr>
                    <w:snapToGrid w:val="0"/>
                    <w:jc w:val="center"/>
                    <w:rPr>
                      <w:szCs w:val="21"/>
                    </w:rPr>
                  </w:pPr>
                  <w:r>
                    <w:rPr>
                      <w:rFonts w:hint="eastAsia" w:ascii="宋体" w:hAnsi="宋体" w:cs="宋体"/>
                      <w:szCs w:val="21"/>
                    </w:rPr>
                    <w:t>Ⅰ</w:t>
                  </w:r>
                </w:p>
              </w:tc>
              <w:tc>
                <w:tcPr>
                  <w:tcW w:w="1520" w:type="dxa"/>
                  <w:vAlign w:val="center"/>
                </w:tcPr>
                <w:p>
                  <w:pPr>
                    <w:widowControl/>
                    <w:jc w:val="center"/>
                    <w:rPr>
                      <w:rFonts w:eastAsia="仿宋_GB2312"/>
                      <w:kern w:val="0"/>
                      <w:szCs w:val="21"/>
                    </w:rPr>
                  </w:pPr>
                  <w:r>
                    <w:rPr>
                      <w:rFonts w:eastAsia="仿宋_GB2312"/>
                      <w:kern w:val="0"/>
                      <w:szCs w:val="21"/>
                    </w:rPr>
                    <w:t>7.70</w:t>
                  </w:r>
                </w:p>
              </w:tc>
              <w:tc>
                <w:tcPr>
                  <w:tcW w:w="664" w:type="dxa"/>
                  <w:vAlign w:val="center"/>
                </w:tcPr>
                <w:p>
                  <w:pPr>
                    <w:snapToGrid w:val="0"/>
                    <w:jc w:val="center"/>
                    <w:rPr>
                      <w:szCs w:val="21"/>
                    </w:rPr>
                  </w:pPr>
                  <w:r>
                    <w:rPr>
                      <w:rFonts w:hint="eastAsia" w:ascii="宋体" w:hAnsi="宋体" w:cs="宋体"/>
                      <w:szCs w:val="21"/>
                    </w:rPr>
                    <w:t>Ⅰ</w:t>
                  </w:r>
                </w:p>
              </w:tc>
              <w:tc>
                <w:tcPr>
                  <w:tcW w:w="1457" w:type="dxa"/>
                  <w:vAlign w:val="center"/>
                </w:tcPr>
                <w:p>
                  <w:pPr>
                    <w:widowControl/>
                    <w:jc w:val="center"/>
                    <w:rPr>
                      <w:kern w:val="0"/>
                      <w:szCs w:val="21"/>
                    </w:rPr>
                  </w:pPr>
                  <w:r>
                    <w:rPr>
                      <w:kern w:val="0"/>
                      <w:szCs w:val="21"/>
                    </w:rPr>
                    <w:t>7.68</w:t>
                  </w:r>
                </w:p>
              </w:tc>
              <w:tc>
                <w:tcPr>
                  <w:tcW w:w="886" w:type="dxa"/>
                  <w:vAlign w:val="center"/>
                </w:tcPr>
                <w:p>
                  <w:pPr>
                    <w:snapToGrid w:val="0"/>
                    <w:jc w:val="center"/>
                    <w:rPr>
                      <w:szCs w:val="21"/>
                    </w:rPr>
                  </w:pPr>
                  <w:r>
                    <w:rPr>
                      <w:rFonts w:hint="eastAsia" w:ascii="宋体" w:hAnsi="宋体" w:cs="宋体"/>
                      <w:szCs w:val="21"/>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总</w:t>
                  </w:r>
                  <w:r>
                    <w:rPr>
                      <w:rFonts w:hint="eastAsia"/>
                      <w:szCs w:val="21"/>
                    </w:rPr>
                    <w:t>硬</w:t>
                  </w:r>
                  <w:r>
                    <w:rPr>
                      <w:szCs w:val="21"/>
                    </w:rPr>
                    <w:t>度</w:t>
                  </w:r>
                </w:p>
              </w:tc>
              <w:tc>
                <w:tcPr>
                  <w:tcW w:w="1520" w:type="dxa"/>
                  <w:vAlign w:val="center"/>
                </w:tcPr>
                <w:p>
                  <w:pPr>
                    <w:widowControl/>
                    <w:jc w:val="center"/>
                    <w:rPr>
                      <w:rFonts w:eastAsia="仿宋_GB2312"/>
                      <w:kern w:val="0"/>
                      <w:szCs w:val="21"/>
                    </w:rPr>
                  </w:pPr>
                  <w:r>
                    <w:rPr>
                      <w:rFonts w:eastAsia="仿宋_GB2312"/>
                      <w:kern w:val="0"/>
                      <w:szCs w:val="21"/>
                    </w:rPr>
                    <w:t>222</w:t>
                  </w:r>
                </w:p>
              </w:tc>
              <w:tc>
                <w:tcPr>
                  <w:tcW w:w="760" w:type="dxa"/>
                  <w:vAlign w:val="center"/>
                </w:tcPr>
                <w:p>
                  <w:pPr>
                    <w:snapToGrid w:val="0"/>
                    <w:jc w:val="center"/>
                    <w:rPr>
                      <w:szCs w:val="21"/>
                    </w:rPr>
                  </w:pPr>
                  <w:r>
                    <w:rPr>
                      <w:szCs w:val="21"/>
                    </w:rPr>
                    <w:fldChar w:fldCharType="begin"/>
                  </w:r>
                  <w:r>
                    <w:rPr>
                      <w:szCs w:val="21"/>
                    </w:rPr>
                    <w:instrText xml:space="preserve"> = 2 \* ROMAN </w:instrText>
                  </w:r>
                  <w:r>
                    <w:rPr>
                      <w:szCs w:val="21"/>
                    </w:rPr>
                    <w:fldChar w:fldCharType="separate"/>
                  </w:r>
                  <w:r>
                    <w:rPr>
                      <w:szCs w:val="21"/>
                      <w:lang w:val="zh-CN" w:eastAsia="zh-CN"/>
                    </w:rPr>
                    <w:t>II</w:t>
                  </w:r>
                  <w:r>
                    <w:rPr>
                      <w:szCs w:val="21"/>
                    </w:rPr>
                    <w:fldChar w:fldCharType="end"/>
                  </w:r>
                </w:p>
              </w:tc>
              <w:tc>
                <w:tcPr>
                  <w:tcW w:w="1520" w:type="dxa"/>
                  <w:vAlign w:val="center"/>
                </w:tcPr>
                <w:p>
                  <w:pPr>
                    <w:widowControl/>
                    <w:jc w:val="center"/>
                    <w:rPr>
                      <w:rFonts w:eastAsia="仿宋_GB2312"/>
                      <w:kern w:val="0"/>
                      <w:szCs w:val="21"/>
                    </w:rPr>
                  </w:pPr>
                  <w:r>
                    <w:rPr>
                      <w:rFonts w:eastAsia="仿宋_GB2312"/>
                      <w:kern w:val="0"/>
                      <w:szCs w:val="21"/>
                    </w:rPr>
                    <w:t>213</w:t>
                  </w:r>
                </w:p>
              </w:tc>
              <w:tc>
                <w:tcPr>
                  <w:tcW w:w="664" w:type="dxa"/>
                  <w:vAlign w:val="center"/>
                </w:tcPr>
                <w:p>
                  <w:pPr>
                    <w:snapToGrid w:val="0"/>
                    <w:jc w:val="center"/>
                    <w:rPr>
                      <w:szCs w:val="21"/>
                    </w:rPr>
                  </w:pPr>
                  <w:r>
                    <w:rPr>
                      <w:szCs w:val="21"/>
                    </w:rPr>
                    <w:fldChar w:fldCharType="begin"/>
                  </w:r>
                  <w:r>
                    <w:rPr>
                      <w:szCs w:val="21"/>
                    </w:rPr>
                    <w:instrText xml:space="preserve"> = 2 \* ROMAN </w:instrText>
                  </w:r>
                  <w:r>
                    <w:rPr>
                      <w:szCs w:val="21"/>
                    </w:rPr>
                    <w:fldChar w:fldCharType="separate"/>
                  </w:r>
                  <w:r>
                    <w:rPr>
                      <w:szCs w:val="21"/>
                      <w:lang w:val="zh-CN" w:eastAsia="zh-CN"/>
                    </w:rPr>
                    <w:t>II</w:t>
                  </w:r>
                  <w:r>
                    <w:rPr>
                      <w:szCs w:val="21"/>
                    </w:rPr>
                    <w:fldChar w:fldCharType="end"/>
                  </w:r>
                </w:p>
              </w:tc>
              <w:tc>
                <w:tcPr>
                  <w:tcW w:w="1457" w:type="dxa"/>
                  <w:vAlign w:val="center"/>
                </w:tcPr>
                <w:p>
                  <w:pPr>
                    <w:widowControl/>
                    <w:jc w:val="center"/>
                    <w:rPr>
                      <w:kern w:val="0"/>
                      <w:szCs w:val="21"/>
                    </w:rPr>
                  </w:pPr>
                  <w:r>
                    <w:rPr>
                      <w:rFonts w:hint="eastAsia"/>
                      <w:kern w:val="0"/>
                      <w:szCs w:val="21"/>
                    </w:rPr>
                    <w:t>1</w:t>
                  </w:r>
                  <w:r>
                    <w:rPr>
                      <w:kern w:val="0"/>
                      <w:szCs w:val="21"/>
                    </w:rPr>
                    <w:t>92</w:t>
                  </w:r>
                </w:p>
              </w:tc>
              <w:tc>
                <w:tcPr>
                  <w:tcW w:w="886" w:type="dxa"/>
                  <w:vAlign w:val="center"/>
                </w:tcPr>
                <w:p>
                  <w:pPr>
                    <w:snapToGrid w:val="0"/>
                    <w:jc w:val="center"/>
                    <w:rPr>
                      <w:szCs w:val="21"/>
                    </w:rPr>
                  </w:pPr>
                  <w:r>
                    <w:rPr>
                      <w:szCs w:val="21"/>
                    </w:rPr>
                    <w:fldChar w:fldCharType="begin"/>
                  </w:r>
                  <w:r>
                    <w:rPr>
                      <w:szCs w:val="21"/>
                    </w:rPr>
                    <w:instrText xml:space="preserve"> = 2 \* ROMAN </w:instrText>
                  </w:r>
                  <w:r>
                    <w:rPr>
                      <w:szCs w:val="21"/>
                    </w:rPr>
                    <w:fldChar w:fldCharType="separate"/>
                  </w:r>
                  <w:r>
                    <w:rPr>
                      <w:szCs w:val="21"/>
                      <w:lang w:val="zh-CN" w:eastAsia="zh-CN"/>
                    </w:rPr>
                    <w:t>II</w:t>
                  </w:r>
                  <w:r>
                    <w:rPr>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氨氮</w:t>
                  </w:r>
                </w:p>
              </w:tc>
              <w:tc>
                <w:tcPr>
                  <w:tcW w:w="1520" w:type="dxa"/>
                  <w:vAlign w:val="center"/>
                </w:tcPr>
                <w:p>
                  <w:pPr>
                    <w:widowControl/>
                    <w:jc w:val="center"/>
                    <w:rPr>
                      <w:rFonts w:eastAsia="仿宋_GB2312"/>
                      <w:kern w:val="0"/>
                      <w:szCs w:val="21"/>
                    </w:rPr>
                  </w:pPr>
                  <w:r>
                    <w:rPr>
                      <w:rFonts w:eastAsia="仿宋_GB2312"/>
                      <w:kern w:val="0"/>
                      <w:szCs w:val="21"/>
                    </w:rPr>
                    <w:t>0.131</w:t>
                  </w:r>
                </w:p>
              </w:tc>
              <w:tc>
                <w:tcPr>
                  <w:tcW w:w="760" w:type="dxa"/>
                  <w:vAlign w:val="center"/>
                </w:tcPr>
                <w:p>
                  <w:pPr>
                    <w:snapToGrid w:val="0"/>
                    <w:jc w:val="center"/>
                    <w:rPr>
                      <w:szCs w:val="21"/>
                    </w:rPr>
                  </w:pPr>
                  <w:r>
                    <w:rPr>
                      <w:rFonts w:hint="eastAsia" w:ascii="宋体" w:hAnsi="宋体" w:cs="宋体"/>
                      <w:szCs w:val="21"/>
                    </w:rPr>
                    <w:t>Ⅲ</w:t>
                  </w:r>
                </w:p>
              </w:tc>
              <w:tc>
                <w:tcPr>
                  <w:tcW w:w="1520" w:type="dxa"/>
                  <w:vAlign w:val="center"/>
                </w:tcPr>
                <w:p>
                  <w:pPr>
                    <w:widowControl/>
                    <w:jc w:val="center"/>
                    <w:rPr>
                      <w:rFonts w:eastAsia="仿宋_GB2312"/>
                      <w:kern w:val="0"/>
                      <w:szCs w:val="21"/>
                    </w:rPr>
                  </w:pPr>
                  <w:r>
                    <w:rPr>
                      <w:rFonts w:eastAsia="仿宋_GB2312"/>
                      <w:kern w:val="0"/>
                      <w:szCs w:val="21"/>
                    </w:rPr>
                    <w:t>0.102</w:t>
                  </w:r>
                </w:p>
              </w:tc>
              <w:tc>
                <w:tcPr>
                  <w:tcW w:w="664" w:type="dxa"/>
                  <w:vAlign w:val="center"/>
                </w:tcPr>
                <w:p>
                  <w:pPr>
                    <w:snapToGrid w:val="0"/>
                    <w:jc w:val="center"/>
                    <w:rPr>
                      <w:szCs w:val="21"/>
                    </w:rPr>
                  </w:pPr>
                  <w:r>
                    <w:rPr>
                      <w:rFonts w:hint="eastAsia" w:ascii="宋体" w:hAnsi="宋体" w:cs="宋体"/>
                      <w:szCs w:val="21"/>
                    </w:rPr>
                    <w:t>Ⅲ</w:t>
                  </w:r>
                </w:p>
              </w:tc>
              <w:tc>
                <w:tcPr>
                  <w:tcW w:w="1457" w:type="dxa"/>
                  <w:vAlign w:val="center"/>
                </w:tcPr>
                <w:p>
                  <w:pPr>
                    <w:widowControl/>
                    <w:jc w:val="center"/>
                    <w:rPr>
                      <w:kern w:val="0"/>
                      <w:szCs w:val="21"/>
                    </w:rPr>
                  </w:pPr>
                  <w:r>
                    <w:rPr>
                      <w:kern w:val="0"/>
                      <w:szCs w:val="21"/>
                    </w:rPr>
                    <w:t>0.118</w:t>
                  </w:r>
                </w:p>
              </w:tc>
              <w:tc>
                <w:tcPr>
                  <w:tcW w:w="886" w:type="dxa"/>
                  <w:vAlign w:val="center"/>
                </w:tcPr>
                <w:p>
                  <w:pPr>
                    <w:snapToGrid w:val="0"/>
                    <w:jc w:val="center"/>
                    <w:rPr>
                      <w:szCs w:val="21"/>
                    </w:rPr>
                  </w:pPr>
                  <w:r>
                    <w:rPr>
                      <w:rFonts w:hint="eastAsia" w:ascii="宋体" w:hAnsi="宋体" w:cs="宋体"/>
                      <w:szCs w:val="21"/>
                    </w:rPr>
                    <w:t>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高锰酸盐指数</w:t>
                  </w:r>
                </w:p>
              </w:tc>
              <w:tc>
                <w:tcPr>
                  <w:tcW w:w="1520" w:type="dxa"/>
                  <w:vAlign w:val="center"/>
                </w:tcPr>
                <w:p>
                  <w:pPr>
                    <w:widowControl/>
                    <w:jc w:val="center"/>
                    <w:rPr>
                      <w:rFonts w:eastAsia="仿宋_GB2312"/>
                      <w:kern w:val="0"/>
                      <w:szCs w:val="21"/>
                    </w:rPr>
                  </w:pPr>
                  <w:r>
                    <w:rPr>
                      <w:rFonts w:eastAsia="仿宋_GB2312"/>
                      <w:kern w:val="0"/>
                      <w:szCs w:val="21"/>
                    </w:rPr>
                    <w:t>2.4</w:t>
                  </w:r>
                </w:p>
              </w:tc>
              <w:tc>
                <w:tcPr>
                  <w:tcW w:w="760" w:type="dxa"/>
                  <w:vAlign w:val="center"/>
                </w:tcPr>
                <w:p>
                  <w:pPr>
                    <w:snapToGrid w:val="0"/>
                    <w:jc w:val="center"/>
                    <w:rPr>
                      <w:szCs w:val="21"/>
                    </w:rPr>
                  </w:pPr>
                  <w:r>
                    <w:rPr>
                      <w:rFonts w:hint="eastAsia" w:ascii="宋体" w:hAnsi="宋体" w:cs="宋体"/>
                      <w:szCs w:val="21"/>
                    </w:rPr>
                    <w:t>Ⅲ</w:t>
                  </w:r>
                </w:p>
              </w:tc>
              <w:tc>
                <w:tcPr>
                  <w:tcW w:w="1520" w:type="dxa"/>
                  <w:vAlign w:val="center"/>
                </w:tcPr>
                <w:p>
                  <w:pPr>
                    <w:widowControl/>
                    <w:jc w:val="center"/>
                    <w:rPr>
                      <w:rFonts w:eastAsia="仿宋_GB2312"/>
                      <w:kern w:val="0"/>
                      <w:szCs w:val="21"/>
                    </w:rPr>
                  </w:pPr>
                  <w:r>
                    <w:rPr>
                      <w:rFonts w:eastAsia="仿宋_GB2312"/>
                      <w:kern w:val="0"/>
                      <w:szCs w:val="21"/>
                    </w:rPr>
                    <w:t>2.6</w:t>
                  </w:r>
                </w:p>
              </w:tc>
              <w:tc>
                <w:tcPr>
                  <w:tcW w:w="664" w:type="dxa"/>
                  <w:vAlign w:val="center"/>
                </w:tcPr>
                <w:p>
                  <w:pPr>
                    <w:snapToGrid w:val="0"/>
                    <w:jc w:val="center"/>
                    <w:rPr>
                      <w:szCs w:val="21"/>
                    </w:rPr>
                  </w:pPr>
                  <w:r>
                    <w:rPr>
                      <w:rFonts w:hint="eastAsia" w:ascii="宋体" w:hAnsi="宋体" w:cs="宋体"/>
                      <w:szCs w:val="21"/>
                    </w:rPr>
                    <w:t>Ⅲ</w:t>
                  </w:r>
                </w:p>
              </w:tc>
              <w:tc>
                <w:tcPr>
                  <w:tcW w:w="1457" w:type="dxa"/>
                  <w:vAlign w:val="center"/>
                </w:tcPr>
                <w:p>
                  <w:pPr>
                    <w:widowControl/>
                    <w:jc w:val="center"/>
                    <w:rPr>
                      <w:kern w:val="0"/>
                      <w:szCs w:val="21"/>
                    </w:rPr>
                  </w:pPr>
                  <w:r>
                    <w:rPr>
                      <w:kern w:val="0"/>
                      <w:szCs w:val="21"/>
                    </w:rPr>
                    <w:t>2.8</w:t>
                  </w:r>
                </w:p>
              </w:tc>
              <w:tc>
                <w:tcPr>
                  <w:tcW w:w="886" w:type="dxa"/>
                  <w:vAlign w:val="center"/>
                </w:tcPr>
                <w:p>
                  <w:pPr>
                    <w:snapToGrid w:val="0"/>
                    <w:jc w:val="center"/>
                    <w:rPr>
                      <w:szCs w:val="21"/>
                    </w:rPr>
                  </w:pPr>
                  <w:r>
                    <w:rPr>
                      <w:rFonts w:hint="eastAsia" w:ascii="宋体" w:hAnsi="宋体" w:cs="宋体"/>
                      <w:szCs w:val="21"/>
                    </w:rPr>
                    <w:t>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硝酸盐</w:t>
                  </w:r>
                </w:p>
              </w:tc>
              <w:tc>
                <w:tcPr>
                  <w:tcW w:w="1520" w:type="dxa"/>
                  <w:vAlign w:val="center"/>
                </w:tcPr>
                <w:p>
                  <w:pPr>
                    <w:widowControl/>
                    <w:jc w:val="center"/>
                    <w:rPr>
                      <w:rFonts w:eastAsia="仿宋_GB2312"/>
                      <w:kern w:val="0"/>
                      <w:szCs w:val="21"/>
                    </w:rPr>
                  </w:pPr>
                  <w:r>
                    <w:rPr>
                      <w:rFonts w:hint="eastAsia" w:eastAsia="仿宋_GB2312"/>
                      <w:kern w:val="0"/>
                      <w:szCs w:val="21"/>
                    </w:rPr>
                    <w:t>15.</w:t>
                  </w:r>
                  <w:r>
                    <w:rPr>
                      <w:rFonts w:eastAsia="仿宋_GB2312"/>
                      <w:kern w:val="0"/>
                      <w:szCs w:val="21"/>
                    </w:rPr>
                    <w:t>6</w:t>
                  </w:r>
                </w:p>
              </w:tc>
              <w:tc>
                <w:tcPr>
                  <w:tcW w:w="760" w:type="dxa"/>
                  <w:vAlign w:val="center"/>
                </w:tcPr>
                <w:p>
                  <w:pPr>
                    <w:snapToGrid w:val="0"/>
                    <w:jc w:val="center"/>
                    <w:rPr>
                      <w:szCs w:val="21"/>
                    </w:rPr>
                  </w:pPr>
                  <w:r>
                    <w:rPr>
                      <w:rFonts w:hint="eastAsia" w:ascii="宋体" w:hAnsi="宋体" w:cs="宋体"/>
                      <w:szCs w:val="21"/>
                    </w:rPr>
                    <w:t>Ⅲ</w:t>
                  </w:r>
                </w:p>
              </w:tc>
              <w:tc>
                <w:tcPr>
                  <w:tcW w:w="1520" w:type="dxa"/>
                  <w:vAlign w:val="center"/>
                </w:tcPr>
                <w:p>
                  <w:pPr>
                    <w:widowControl/>
                    <w:jc w:val="center"/>
                    <w:rPr>
                      <w:rFonts w:eastAsia="仿宋_GB2312"/>
                      <w:kern w:val="0"/>
                      <w:szCs w:val="21"/>
                    </w:rPr>
                  </w:pPr>
                  <w:r>
                    <w:rPr>
                      <w:rFonts w:eastAsia="仿宋_GB2312"/>
                      <w:kern w:val="0"/>
                      <w:szCs w:val="21"/>
                    </w:rPr>
                    <w:t>21.7</w:t>
                  </w:r>
                </w:p>
              </w:tc>
              <w:tc>
                <w:tcPr>
                  <w:tcW w:w="664" w:type="dxa"/>
                  <w:vAlign w:val="center"/>
                </w:tcPr>
                <w:p>
                  <w:pPr>
                    <w:snapToGrid w:val="0"/>
                    <w:jc w:val="center"/>
                    <w:rPr>
                      <w:szCs w:val="21"/>
                    </w:rPr>
                  </w:pPr>
                  <w:r>
                    <w:rPr>
                      <w:szCs w:val="21"/>
                    </w:rPr>
                    <w:fldChar w:fldCharType="begin"/>
                  </w:r>
                  <w:r>
                    <w:rPr>
                      <w:szCs w:val="21"/>
                    </w:rPr>
                    <w:instrText xml:space="preserve"> = 4 \* ROMAN </w:instrText>
                  </w:r>
                  <w:r>
                    <w:rPr>
                      <w:szCs w:val="21"/>
                    </w:rPr>
                    <w:fldChar w:fldCharType="separate"/>
                  </w:r>
                  <w:r>
                    <w:rPr>
                      <w:szCs w:val="21"/>
                      <w:lang w:val="zh-CN" w:eastAsia="zh-CN"/>
                    </w:rPr>
                    <w:t>IV</w:t>
                  </w:r>
                  <w:r>
                    <w:rPr>
                      <w:szCs w:val="21"/>
                    </w:rPr>
                    <w:fldChar w:fldCharType="end"/>
                  </w:r>
                </w:p>
              </w:tc>
              <w:tc>
                <w:tcPr>
                  <w:tcW w:w="1457" w:type="dxa"/>
                  <w:vAlign w:val="center"/>
                </w:tcPr>
                <w:p>
                  <w:pPr>
                    <w:widowControl/>
                    <w:jc w:val="center"/>
                    <w:rPr>
                      <w:kern w:val="0"/>
                      <w:szCs w:val="21"/>
                    </w:rPr>
                  </w:pPr>
                  <w:r>
                    <w:rPr>
                      <w:kern w:val="0"/>
                      <w:szCs w:val="21"/>
                    </w:rPr>
                    <w:t>6.32</w:t>
                  </w:r>
                </w:p>
              </w:tc>
              <w:tc>
                <w:tcPr>
                  <w:tcW w:w="886" w:type="dxa"/>
                  <w:vAlign w:val="center"/>
                </w:tcPr>
                <w:p>
                  <w:pPr>
                    <w:snapToGrid w:val="0"/>
                    <w:jc w:val="center"/>
                    <w:rPr>
                      <w:szCs w:val="21"/>
                    </w:rPr>
                  </w:pPr>
                  <w:r>
                    <w:rPr>
                      <w:rFonts w:hint="eastAsia" w:ascii="宋体" w:hAnsi="宋体" w:cs="宋体"/>
                      <w:szCs w:val="21"/>
                    </w:rPr>
                    <w:t>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9" w:type="dxa"/>
                  <w:vAlign w:val="center"/>
                </w:tcPr>
                <w:p>
                  <w:pPr>
                    <w:adjustRightInd w:val="0"/>
                    <w:snapToGrid w:val="0"/>
                    <w:ind w:firstLine="8" w:firstLineChars="4"/>
                    <w:jc w:val="center"/>
                    <w:rPr>
                      <w:szCs w:val="21"/>
                    </w:rPr>
                  </w:pPr>
                  <w:r>
                    <w:rPr>
                      <w:szCs w:val="21"/>
                    </w:rPr>
                    <w:t>氯化物</w:t>
                  </w:r>
                </w:p>
              </w:tc>
              <w:tc>
                <w:tcPr>
                  <w:tcW w:w="1520" w:type="dxa"/>
                  <w:vAlign w:val="center"/>
                </w:tcPr>
                <w:p>
                  <w:pPr>
                    <w:widowControl/>
                    <w:jc w:val="center"/>
                    <w:rPr>
                      <w:rFonts w:eastAsia="仿宋_GB2312"/>
                      <w:kern w:val="0"/>
                      <w:szCs w:val="21"/>
                    </w:rPr>
                  </w:pPr>
                  <w:r>
                    <w:rPr>
                      <w:rFonts w:eastAsia="仿宋_GB2312"/>
                      <w:kern w:val="0"/>
                      <w:szCs w:val="21"/>
                    </w:rPr>
                    <w:cr/>
                  </w:r>
                  <w:r>
                    <w:rPr>
                      <w:rFonts w:eastAsia="仿宋_GB2312"/>
                      <w:kern w:val="0"/>
                      <w:szCs w:val="21"/>
                    </w:rPr>
                    <w:t>0.4</w:t>
                  </w:r>
                </w:p>
              </w:tc>
              <w:tc>
                <w:tcPr>
                  <w:tcW w:w="760" w:type="dxa"/>
                  <w:vAlign w:val="center"/>
                </w:tcPr>
                <w:p>
                  <w:pPr>
                    <w:snapToGrid w:val="0"/>
                    <w:jc w:val="center"/>
                    <w:rPr>
                      <w:szCs w:val="21"/>
                    </w:rPr>
                  </w:pPr>
                  <w:r>
                    <w:rPr>
                      <w:rFonts w:hint="eastAsia" w:ascii="宋体" w:hAnsi="宋体" w:cs="宋体"/>
                      <w:szCs w:val="21"/>
                    </w:rPr>
                    <w:t>Ⅰ</w:t>
                  </w:r>
                </w:p>
              </w:tc>
              <w:tc>
                <w:tcPr>
                  <w:tcW w:w="1520" w:type="dxa"/>
                  <w:vAlign w:val="center"/>
                </w:tcPr>
                <w:p>
                  <w:pPr>
                    <w:widowControl/>
                    <w:jc w:val="center"/>
                    <w:rPr>
                      <w:rFonts w:eastAsia="仿宋_GB2312"/>
                      <w:kern w:val="0"/>
                      <w:szCs w:val="21"/>
                    </w:rPr>
                  </w:pPr>
                  <w:r>
                    <w:rPr>
                      <w:rFonts w:eastAsia="仿宋_GB2312"/>
                      <w:kern w:val="0"/>
                      <w:szCs w:val="21"/>
                    </w:rPr>
                    <w:t>14.1</w:t>
                  </w:r>
                </w:p>
              </w:tc>
              <w:tc>
                <w:tcPr>
                  <w:tcW w:w="664" w:type="dxa"/>
                  <w:vAlign w:val="center"/>
                </w:tcPr>
                <w:p>
                  <w:pPr>
                    <w:snapToGrid w:val="0"/>
                    <w:jc w:val="center"/>
                    <w:rPr>
                      <w:szCs w:val="21"/>
                    </w:rPr>
                  </w:pPr>
                  <w:r>
                    <w:rPr>
                      <w:rFonts w:hint="eastAsia" w:ascii="宋体" w:hAnsi="宋体" w:cs="宋体"/>
                      <w:szCs w:val="21"/>
                    </w:rPr>
                    <w:t>Ⅰ</w:t>
                  </w:r>
                </w:p>
              </w:tc>
              <w:tc>
                <w:tcPr>
                  <w:tcW w:w="1457" w:type="dxa"/>
                  <w:vAlign w:val="center"/>
                </w:tcPr>
                <w:p>
                  <w:pPr>
                    <w:widowControl/>
                    <w:jc w:val="center"/>
                    <w:rPr>
                      <w:kern w:val="0"/>
                      <w:szCs w:val="21"/>
                    </w:rPr>
                  </w:pPr>
                  <w:r>
                    <w:rPr>
                      <w:kern w:val="0"/>
                      <w:szCs w:val="21"/>
                    </w:rPr>
                    <w:t>20.8</w:t>
                  </w:r>
                </w:p>
              </w:tc>
              <w:tc>
                <w:tcPr>
                  <w:tcW w:w="886" w:type="dxa"/>
                  <w:vAlign w:val="center"/>
                </w:tcPr>
                <w:p>
                  <w:pPr>
                    <w:snapToGrid w:val="0"/>
                    <w:jc w:val="center"/>
                    <w:rPr>
                      <w:szCs w:val="21"/>
                    </w:rPr>
                  </w:pPr>
                  <w:r>
                    <w:rPr>
                      <w:rFonts w:hint="eastAsia" w:ascii="宋体" w:hAnsi="宋体" w:cs="宋体"/>
                      <w:szCs w:val="21"/>
                    </w:rPr>
                    <w:t>Ⅰ</w:t>
                  </w:r>
                </w:p>
              </w:tc>
            </w:tr>
          </w:tbl>
          <w:p>
            <w:pPr>
              <w:spacing w:line="440" w:lineRule="exact"/>
              <w:ind w:firstLine="480" w:firstLineChars="200"/>
              <w:rPr>
                <w:kern w:val="0"/>
                <w:sz w:val="24"/>
              </w:rPr>
            </w:pPr>
          </w:p>
          <w:p>
            <w:pPr>
              <w:spacing w:line="440" w:lineRule="exact"/>
              <w:ind w:firstLine="480" w:firstLineChars="200"/>
              <w:rPr>
                <w:kern w:val="0"/>
                <w:sz w:val="24"/>
              </w:rPr>
            </w:pPr>
            <w:r>
              <w:rPr>
                <w:kern w:val="0"/>
                <w:sz w:val="24"/>
              </w:rPr>
              <w:t>除D2点位的硝酸盐指标外，三个监测点位的其他各污染因子的监测值均优于《地下水环境质量标准》中的III类标准，项目所在地地下水环境质量总体良好。</w:t>
            </w:r>
          </w:p>
          <w:p>
            <w:pPr>
              <w:spacing w:line="440" w:lineRule="exact"/>
              <w:ind w:firstLine="482" w:firstLineChars="200"/>
              <w:rPr>
                <w:b/>
                <w:bCs/>
                <w:kern w:val="0"/>
                <w:sz w:val="24"/>
              </w:rPr>
            </w:pPr>
            <w:r>
              <w:rPr>
                <w:b/>
                <w:bCs/>
                <w:kern w:val="0"/>
                <w:sz w:val="24"/>
              </w:rPr>
              <w:t>四、环境噪声现状：</w:t>
            </w:r>
          </w:p>
          <w:p>
            <w:pPr>
              <w:spacing w:line="440" w:lineRule="exact"/>
              <w:ind w:firstLine="480" w:firstLineChars="200"/>
              <w:rPr>
                <w:b/>
                <w:bCs/>
                <w:kern w:val="0"/>
                <w:sz w:val="24"/>
              </w:rPr>
            </w:pPr>
            <w:r>
              <w:rPr>
                <w:sz w:val="24"/>
              </w:rPr>
              <w:t>本项目声环境质量现状监测委托江苏力维检查有限公司于2015年6月01日-6月02日，</w:t>
            </w:r>
            <w:r>
              <w:rPr>
                <w:sz w:val="24"/>
                <w:lang w:val="zh-CN"/>
              </w:rPr>
              <w:t>昼、夜各监测1次。监测结果见表4-3。</w:t>
            </w:r>
          </w:p>
          <w:p>
            <w:pPr>
              <w:spacing w:line="440" w:lineRule="exact"/>
              <w:jc w:val="center"/>
              <w:rPr>
                <w:b/>
                <w:bCs/>
                <w:kern w:val="0"/>
                <w:sz w:val="24"/>
              </w:rPr>
            </w:pPr>
            <w:r>
              <w:rPr>
                <w:b/>
              </w:rPr>
              <w:t>表4-3   噪声现状监测结果表</w:t>
            </w:r>
          </w:p>
          <w:tbl>
            <w:tblPr>
              <w:tblStyle w:val="33"/>
              <w:tblW w:w="8290" w:type="dxa"/>
              <w:jc w:val="center"/>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8"/>
              <w:gridCol w:w="587"/>
              <w:gridCol w:w="1058"/>
              <w:gridCol w:w="1267"/>
              <w:gridCol w:w="1771"/>
              <w:gridCol w:w="1139"/>
              <w:gridCol w:w="13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监测日期</w:t>
                  </w:r>
                </w:p>
              </w:tc>
              <w:tc>
                <w:tcPr>
                  <w:tcW w:w="587" w:type="dxa"/>
                  <w:vMerge w:val="restart"/>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点位</w:t>
                  </w:r>
                </w:p>
              </w:tc>
              <w:tc>
                <w:tcPr>
                  <w:tcW w:w="1058" w:type="dxa"/>
                  <w:vMerge w:val="restart"/>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位置</w:t>
                  </w:r>
                </w:p>
              </w:tc>
              <w:tc>
                <w:tcPr>
                  <w:tcW w:w="1267" w:type="dxa"/>
                  <w:vMerge w:val="restart"/>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监测</w:t>
                  </w:r>
                </w:p>
                <w:p>
                  <w:pPr>
                    <w:adjustRightInd w:val="0"/>
                    <w:snapToGrid w:val="0"/>
                    <w:jc w:val="center"/>
                    <w:rPr>
                      <w:szCs w:val="21"/>
                    </w:rPr>
                  </w:pPr>
                  <w:r>
                    <w:rPr>
                      <w:szCs w:val="21"/>
                    </w:rPr>
                    <w:t>时间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监测结果dB（A）</w:t>
                  </w:r>
                </w:p>
              </w:tc>
              <w:tc>
                <w:tcPr>
                  <w:tcW w:w="1139" w:type="dxa"/>
                  <w:vMerge w:val="restart"/>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标准值</w:t>
                  </w:r>
                </w:p>
                <w:p>
                  <w:pPr>
                    <w:adjustRightInd w:val="0"/>
                    <w:snapToGrid w:val="0"/>
                    <w:jc w:val="center"/>
                    <w:rPr>
                      <w:szCs w:val="21"/>
                    </w:rPr>
                  </w:pPr>
                  <w:r>
                    <w:rPr>
                      <w:szCs w:val="21"/>
                    </w:rPr>
                    <w:t>dB（A）</w:t>
                  </w:r>
                </w:p>
              </w:tc>
              <w:tc>
                <w:tcPr>
                  <w:tcW w:w="1360" w:type="dxa"/>
                  <w:vMerge w:val="restart"/>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超标情况</w:t>
                  </w:r>
                </w:p>
                <w:p>
                  <w:pPr>
                    <w:adjustRightInd w:val="0"/>
                    <w:snapToGrid w:val="0"/>
                    <w:jc w:val="center"/>
                    <w:rPr>
                      <w:szCs w:val="21"/>
                    </w:rPr>
                  </w:pPr>
                  <w:r>
                    <w:rPr>
                      <w:szCs w:val="21"/>
                    </w:rPr>
                    <w:t>dB（A）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587"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Leq</w:t>
                  </w:r>
                </w:p>
              </w:tc>
              <w:tc>
                <w:tcPr>
                  <w:tcW w:w="1139"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360" w:type="dxa"/>
                  <w:vMerge w:val="continue"/>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2015年</w:t>
                  </w:r>
                </w:p>
                <w:p>
                  <w:pPr>
                    <w:adjustRightInd w:val="0"/>
                    <w:snapToGrid w:val="0"/>
                    <w:jc w:val="center"/>
                    <w:rPr>
                      <w:szCs w:val="21"/>
                    </w:rPr>
                  </w:pPr>
                  <w:r>
                    <w:rPr>
                      <w:szCs w:val="21"/>
                    </w:rPr>
                    <w:t>6月1日</w:t>
                  </w:r>
                </w:p>
              </w:tc>
              <w:tc>
                <w:tcPr>
                  <w:tcW w:w="587"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N</w:t>
                  </w:r>
                  <w:r>
                    <w:rPr>
                      <w:szCs w:val="21"/>
                    </w:rPr>
                    <w:cr/>
                  </w:r>
                </w:p>
              </w:tc>
              <w:tc>
                <w:tcPr>
                  <w:tcW w:w="105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东南厂界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58.7</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6</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49.5</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N2</w:t>
                  </w:r>
                </w:p>
              </w:tc>
              <w:tc>
                <w:tcPr>
                  <w:tcW w:w="105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东厂界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56.2</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6</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47.2</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N3</w:t>
                  </w:r>
                </w:p>
              </w:tc>
              <w:tc>
                <w:tcPr>
                  <w:tcW w:w="105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北厂界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56.9</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47.3</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N4</w:t>
                  </w:r>
                </w:p>
              </w:tc>
              <w:tc>
                <w:tcPr>
                  <w:tcW w:w="1058" w:type="dxa"/>
                  <w:vMerge w:val="restart"/>
                  <w:tcBorders>
                    <w:top w:val="single" w:color="000000" w:sz="6" w:space="0"/>
                    <w:left w:val="single" w:color="000000" w:sz="6" w:space="0"/>
                    <w:right w:val="single" w:color="000000" w:sz="6" w:space="0"/>
                  </w:tcBorders>
                  <w:vAlign w:val="center"/>
                </w:tcPr>
                <w:p>
                  <w:pPr>
                    <w:adjustRightInd w:val="0"/>
                    <w:snapToGrid w:val="0"/>
                    <w:jc w:val="center"/>
                    <w:rPr>
                      <w:szCs w:val="21"/>
                    </w:rPr>
                  </w:pPr>
                  <w:r>
                    <w:rPr>
                      <w:szCs w:val="21"/>
                    </w:rPr>
                    <w:t>西厂界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58.2</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rFonts w:hint="eastAsia"/>
                      <w:szCs w:val="21"/>
                    </w:rPr>
                    <w:t>4</w:t>
                  </w:r>
                  <w:r>
                    <w:rPr>
                      <w:szCs w:val="21"/>
                    </w:rPr>
                    <w:t>8.4</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left w:val="single" w:color="000000" w:sz="6" w:space="0"/>
                    <w:right w:val="single" w:color="000000" w:sz="6" w:space="0"/>
                  </w:tcBorders>
                  <w:vAlign w:val="center"/>
                </w:tcPr>
                <w:p>
                  <w:pPr>
                    <w:adjustRightInd w:val="0"/>
                    <w:snapToGrid w:val="0"/>
                    <w:jc w:val="center"/>
                    <w:rPr>
                      <w:szCs w:val="21"/>
                    </w:rPr>
                  </w:pPr>
                  <w:r>
                    <w:rPr>
                      <w:szCs w:val="21"/>
                    </w:rPr>
                    <w:t>N5</w:t>
                  </w:r>
                </w:p>
              </w:tc>
              <w:tc>
                <w:tcPr>
                  <w:tcW w:w="1058" w:type="dxa"/>
                  <w:vMerge w:val="restart"/>
                  <w:tcBorders>
                    <w:left w:val="single" w:color="000000" w:sz="6" w:space="0"/>
                    <w:right w:val="single" w:color="000000" w:sz="6" w:space="0"/>
                  </w:tcBorders>
                  <w:vAlign w:val="center"/>
                </w:tcPr>
                <w:p>
                  <w:pPr>
                    <w:adjustRightInd w:val="0"/>
                    <w:snapToGrid w:val="0"/>
                    <w:jc w:val="center"/>
                    <w:rPr>
                      <w:szCs w:val="21"/>
                    </w:rPr>
                  </w:pPr>
                  <w:r>
                    <w:rPr>
                      <w:szCs w:val="21"/>
                    </w:rPr>
                    <w:t>西南厂界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58.4</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49.1</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2015年</w:t>
                  </w:r>
                </w:p>
                <w:p>
                  <w:pPr>
                    <w:adjustRightInd w:val="0"/>
                    <w:snapToGrid w:val="0"/>
                    <w:jc w:val="center"/>
                    <w:rPr>
                      <w:szCs w:val="21"/>
                    </w:rPr>
                  </w:pPr>
                  <w:r>
                    <w:rPr>
                      <w:szCs w:val="21"/>
                    </w:rPr>
                    <w:t>6月2日</w:t>
                  </w:r>
                </w:p>
              </w:tc>
              <w:tc>
                <w:tcPr>
                  <w:tcW w:w="587"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N1</w:t>
                  </w:r>
                </w:p>
              </w:tc>
              <w:tc>
                <w:tcPr>
                  <w:tcW w:w="1058"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东南厂界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w:t>
                  </w:r>
                  <w:r>
                    <w:rPr>
                      <w:rFonts w:hint="eastAsia"/>
                      <w:szCs w:val="21"/>
                    </w:rPr>
                    <w:t>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59.2</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6</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49.7</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N2</w:t>
                  </w:r>
                </w:p>
              </w:tc>
              <w:tc>
                <w:tcPr>
                  <w:tcW w:w="1058"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东厂界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57.4</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6</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48.6</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N3</w:t>
                  </w:r>
                </w:p>
              </w:tc>
              <w:tc>
                <w:tcPr>
                  <w:tcW w:w="1058"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北厂界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56.</w:t>
                  </w:r>
                  <w:r>
                    <w:rPr>
                      <w:rFonts w:hint="eastAsia"/>
                      <w:szCs w:val="21"/>
                    </w:rPr>
                    <w:t>8</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bottom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47.5</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w:t>
                  </w:r>
                  <w:r>
                    <w:rPr>
                      <w:rFonts w:hint="eastAsia"/>
                      <w:szCs w:val="21"/>
                    </w:rPr>
                    <w:t>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N4</w:t>
                  </w:r>
                </w:p>
              </w:tc>
              <w:tc>
                <w:tcPr>
                  <w:tcW w:w="1058" w:type="dxa"/>
                  <w:vMerge w:val="restart"/>
                  <w:tcBorders>
                    <w:top w:val="single" w:color="auto" w:sz="4" w:space="0"/>
                    <w:left w:val="single" w:color="000000" w:sz="6" w:space="0"/>
                    <w:right w:val="single" w:color="000000" w:sz="6" w:space="0"/>
                  </w:tcBorders>
                  <w:vAlign w:val="center"/>
                </w:tcPr>
                <w:p>
                  <w:pPr>
                    <w:adjustRightInd w:val="0"/>
                    <w:snapToGrid w:val="0"/>
                    <w:jc w:val="center"/>
                    <w:rPr>
                      <w:szCs w:val="21"/>
                    </w:rPr>
                  </w:pPr>
                  <w:r>
                    <w:rPr>
                      <w:szCs w:val="21"/>
                    </w:rPr>
                    <w:t>西厂界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58.3</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49.1</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restart"/>
                  <w:tcBorders>
                    <w:left w:val="single" w:color="000000" w:sz="6" w:space="0"/>
                    <w:right w:val="single" w:color="000000" w:sz="6" w:space="0"/>
                  </w:tcBorders>
                  <w:vAlign w:val="center"/>
                </w:tcPr>
                <w:p>
                  <w:pPr>
                    <w:adjustRightInd w:val="0"/>
                    <w:snapToGrid w:val="0"/>
                    <w:jc w:val="center"/>
                    <w:rPr>
                      <w:szCs w:val="21"/>
                    </w:rPr>
                  </w:pPr>
                  <w:r>
                    <w:rPr>
                      <w:szCs w:val="21"/>
                    </w:rPr>
                    <w:t>N5</w:t>
                  </w:r>
                </w:p>
              </w:tc>
              <w:tc>
                <w:tcPr>
                  <w:tcW w:w="1058" w:type="dxa"/>
                  <w:vMerge w:val="restart"/>
                  <w:tcBorders>
                    <w:left w:val="single" w:color="000000" w:sz="6" w:space="0"/>
                    <w:right w:val="single" w:color="000000" w:sz="6" w:space="0"/>
                  </w:tcBorders>
                  <w:vAlign w:val="center"/>
                </w:tcPr>
                <w:p>
                  <w:pPr>
                    <w:adjustRightInd w:val="0"/>
                    <w:snapToGrid w:val="0"/>
                    <w:jc w:val="center"/>
                    <w:rPr>
                      <w:szCs w:val="21"/>
                    </w:rPr>
                  </w:pPr>
                  <w:r>
                    <w:rPr>
                      <w:szCs w:val="21"/>
                    </w:rPr>
                    <w:t>西南厂</w:t>
                  </w:r>
                  <w:r>
                    <w:rPr>
                      <w:rFonts w:hint="eastAsia"/>
                      <w:szCs w:val="21"/>
                    </w:rPr>
                    <w:t>界</w:t>
                  </w: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昼间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58.9</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70</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2" w:hRule="atLeast"/>
                <w:jc w:val="center"/>
              </w:trPr>
              <w:tc>
                <w:tcPr>
                  <w:tcW w:w="110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587"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058" w:type="dxa"/>
                  <w:vMerge w:val="continue"/>
                  <w:tcBorders>
                    <w:left w:val="single" w:color="000000" w:sz="6" w:space="0"/>
                    <w:right w:val="single" w:color="000000" w:sz="6" w:space="0"/>
                  </w:tcBorders>
                  <w:vAlign w:val="center"/>
                </w:tcPr>
                <w:p>
                  <w:pPr>
                    <w:adjustRightInd w:val="0"/>
                    <w:snapToGrid w:val="0"/>
                    <w:jc w:val="center"/>
                    <w:rPr>
                      <w:szCs w:val="21"/>
                    </w:rPr>
                  </w:pPr>
                </w:p>
              </w:tc>
              <w:tc>
                <w:tcPr>
                  <w:tcW w:w="126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夜</w:t>
                  </w:r>
                  <w:r>
                    <w:rPr>
                      <w:rFonts w:hint="eastAsia"/>
                      <w:szCs w:val="21"/>
                    </w:rPr>
                    <w:t>间</w:t>
                  </w:r>
                </w:p>
              </w:tc>
              <w:tc>
                <w:tcPr>
                  <w:tcW w:w="1771"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49.5</w:t>
                  </w:r>
                </w:p>
              </w:tc>
              <w:tc>
                <w:tcPr>
                  <w:tcW w:w="113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55</w:t>
                  </w:r>
                </w:p>
              </w:tc>
              <w:tc>
                <w:tcPr>
                  <w:tcW w:w="1360"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szCs w:val="21"/>
                    </w:rPr>
                  </w:pPr>
                  <w:r>
                    <w:rPr>
                      <w:szCs w:val="21"/>
                    </w:rPr>
                    <w:t>达标</w:t>
                  </w:r>
                </w:p>
              </w:tc>
            </w:tr>
          </w:tbl>
          <w:p>
            <w:pPr>
              <w:adjustRightInd w:val="0"/>
              <w:snapToGrid w:val="0"/>
              <w:spacing w:line="360" w:lineRule="auto"/>
              <w:ind w:firstLine="480" w:firstLineChars="200"/>
              <w:rPr>
                <w:sz w:val="24"/>
              </w:rPr>
            </w:pPr>
            <w:r>
              <w:rPr>
                <w:sz w:val="24"/>
                <w:lang w:val="zh-CN"/>
              </w:rPr>
              <w:t>噪声现状监测结果表明：项目所在地声环境现状符合</w:t>
            </w:r>
            <w:r>
              <w:rPr>
                <w:rFonts w:hint="eastAsia"/>
                <w:sz w:val="24"/>
                <w:lang w:val="zh-CN"/>
              </w:rPr>
              <w:t>3</w:t>
            </w:r>
            <w:r>
              <w:rPr>
                <w:sz w:val="24"/>
                <w:lang w:val="zh-CN"/>
              </w:rPr>
              <w:t>类、4a类区标准，声环境状况良好</w:t>
            </w:r>
            <w:r>
              <w:rPr>
                <w:sz w:val="24"/>
              </w:rPr>
              <w:t>。</w:t>
            </w:r>
          </w:p>
          <w:p>
            <w:pPr>
              <w:spacing w:line="440" w:lineRule="exact"/>
              <w:ind w:firstLine="482" w:firstLineChars="200"/>
              <w:rPr>
                <w:b/>
                <w:bCs/>
                <w:kern w:val="0"/>
                <w:sz w:val="24"/>
              </w:rPr>
            </w:pPr>
            <w:r>
              <w:rPr>
                <w:b/>
                <w:bCs/>
                <w:kern w:val="0"/>
                <w:sz w:val="24"/>
              </w:rPr>
              <w:t>五、土壤环境质量现状：</w:t>
            </w:r>
          </w:p>
          <w:p>
            <w:pPr>
              <w:spacing w:line="440" w:lineRule="exact"/>
              <w:ind w:firstLine="480" w:firstLineChars="200"/>
              <w:rPr>
                <w:b/>
                <w:bCs/>
                <w:kern w:val="0"/>
                <w:sz w:val="24"/>
              </w:rPr>
            </w:pPr>
            <w:r>
              <w:rPr>
                <w:sz w:val="24"/>
              </w:rPr>
              <w:t>本项目土壤环境质量现状委托江苏力维检测科技有限公司于2015年6月01日于项目所在进行监测。监测结果见表4-4。</w:t>
            </w:r>
          </w:p>
          <w:p>
            <w:pPr>
              <w:adjustRightInd w:val="0"/>
              <w:snapToGrid w:val="0"/>
              <w:ind w:firstLine="422" w:firstLineChars="200"/>
              <w:jc w:val="center"/>
              <w:rPr>
                <w:b/>
              </w:rPr>
            </w:pPr>
            <w:r>
              <w:rPr>
                <w:b/>
              </w:rPr>
              <w:t>表4-4 土壤环境质量监测结果汇总</w:t>
            </w:r>
          </w:p>
          <w:tbl>
            <w:tblPr>
              <w:tblStyle w:val="3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700"/>
              <w:gridCol w:w="850"/>
              <w:gridCol w:w="694"/>
              <w:gridCol w:w="886"/>
              <w:gridCol w:w="886"/>
              <w:gridCol w:w="886"/>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3" w:type="dxa"/>
                  <w:vMerge w:val="restart"/>
                  <w:vAlign w:val="center"/>
                </w:tcPr>
                <w:p>
                  <w:pPr>
                    <w:adjustRightInd w:val="0"/>
                    <w:snapToGrid w:val="0"/>
                    <w:jc w:val="center"/>
                    <w:rPr>
                      <w:szCs w:val="21"/>
                    </w:rPr>
                  </w:pPr>
                  <w:r>
                    <w:rPr>
                      <w:szCs w:val="21"/>
                    </w:rPr>
                    <w:t>点位</w:t>
                  </w:r>
                </w:p>
              </w:tc>
              <w:tc>
                <w:tcPr>
                  <w:tcW w:w="1700" w:type="dxa"/>
                  <w:vMerge w:val="restart"/>
                  <w:vAlign w:val="center"/>
                </w:tcPr>
                <w:p>
                  <w:pPr>
                    <w:adjustRightInd w:val="0"/>
                    <w:snapToGrid w:val="0"/>
                    <w:jc w:val="center"/>
                    <w:rPr>
                      <w:szCs w:val="21"/>
                    </w:rPr>
                  </w:pPr>
                  <w:r>
                    <w:rPr>
                      <w:szCs w:val="21"/>
                    </w:rPr>
                    <w:t>日期</w:t>
                  </w:r>
                </w:p>
              </w:tc>
              <w:tc>
                <w:tcPr>
                  <w:tcW w:w="5183" w:type="dxa"/>
                  <w:gridSpan w:val="6"/>
                  <w:vAlign w:val="center"/>
                </w:tcPr>
                <w:p>
                  <w:pPr>
                    <w:adjustRightInd w:val="0"/>
                    <w:snapToGrid w:val="0"/>
                    <w:jc w:val="center"/>
                    <w:rPr>
                      <w:szCs w:val="21"/>
                    </w:rPr>
                  </w:pPr>
                  <w:r>
                    <w:rPr>
                      <w:szCs w:val="21"/>
                    </w:rPr>
                    <w:t>监测项目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3" w:type="dxa"/>
                  <w:vMerge w:val="continue"/>
                  <w:vAlign w:val="center"/>
                </w:tcPr>
                <w:p>
                  <w:pPr>
                    <w:adjustRightInd w:val="0"/>
                    <w:snapToGrid w:val="0"/>
                    <w:jc w:val="center"/>
                    <w:rPr>
                      <w:szCs w:val="21"/>
                    </w:rPr>
                  </w:pPr>
                </w:p>
              </w:tc>
              <w:tc>
                <w:tcPr>
                  <w:tcW w:w="1700" w:type="dxa"/>
                  <w:vMerge w:val="continue"/>
                  <w:vAlign w:val="center"/>
                </w:tcPr>
                <w:p>
                  <w:pPr>
                    <w:adjustRightInd w:val="0"/>
                    <w:snapToGrid w:val="0"/>
                    <w:jc w:val="center"/>
                    <w:rPr>
                      <w:szCs w:val="21"/>
                    </w:rPr>
                  </w:pPr>
                </w:p>
              </w:tc>
              <w:tc>
                <w:tcPr>
                  <w:tcW w:w="850" w:type="dxa"/>
                  <w:vAlign w:val="center"/>
                </w:tcPr>
                <w:p>
                  <w:pPr>
                    <w:adjustRightInd w:val="0"/>
                    <w:snapToGrid w:val="0"/>
                    <w:jc w:val="center"/>
                    <w:rPr>
                      <w:szCs w:val="21"/>
                    </w:rPr>
                  </w:pPr>
                  <w:r>
                    <w:rPr>
                      <w:szCs w:val="21"/>
                    </w:rPr>
                    <w:t>pH</w:t>
                  </w:r>
                </w:p>
              </w:tc>
              <w:tc>
                <w:tcPr>
                  <w:tcW w:w="694" w:type="dxa"/>
                  <w:vAlign w:val="center"/>
                </w:tcPr>
                <w:p>
                  <w:pPr>
                    <w:adjustRightInd w:val="0"/>
                    <w:snapToGrid w:val="0"/>
                    <w:jc w:val="center"/>
                    <w:rPr>
                      <w:szCs w:val="21"/>
                    </w:rPr>
                  </w:pPr>
                  <w:r>
                    <w:rPr>
                      <w:szCs w:val="21"/>
                    </w:rPr>
                    <w:t>砷</w:t>
                  </w:r>
                </w:p>
              </w:tc>
              <w:tc>
                <w:tcPr>
                  <w:tcW w:w="886" w:type="dxa"/>
                  <w:vAlign w:val="center"/>
                </w:tcPr>
                <w:p>
                  <w:pPr>
                    <w:adjustRightInd w:val="0"/>
                    <w:snapToGrid w:val="0"/>
                    <w:jc w:val="center"/>
                    <w:rPr>
                      <w:szCs w:val="21"/>
                    </w:rPr>
                  </w:pPr>
                  <w:r>
                    <w:rPr>
                      <w:szCs w:val="21"/>
                    </w:rPr>
                    <w:t>铜</w:t>
                  </w:r>
                </w:p>
              </w:tc>
              <w:tc>
                <w:tcPr>
                  <w:tcW w:w="886" w:type="dxa"/>
                  <w:vAlign w:val="center"/>
                </w:tcPr>
                <w:p>
                  <w:pPr>
                    <w:adjustRightInd w:val="0"/>
                    <w:snapToGrid w:val="0"/>
                    <w:jc w:val="center"/>
                    <w:rPr>
                      <w:szCs w:val="21"/>
                    </w:rPr>
                  </w:pPr>
                  <w:r>
                    <w:rPr>
                      <w:szCs w:val="21"/>
                    </w:rPr>
                    <w:t>铅</w:t>
                  </w:r>
                </w:p>
              </w:tc>
              <w:tc>
                <w:tcPr>
                  <w:tcW w:w="886" w:type="dxa"/>
                  <w:vAlign w:val="center"/>
                </w:tcPr>
                <w:p>
                  <w:pPr>
                    <w:adjustRightInd w:val="0"/>
                    <w:snapToGrid w:val="0"/>
                    <w:jc w:val="center"/>
                    <w:rPr>
                      <w:szCs w:val="21"/>
                    </w:rPr>
                  </w:pPr>
                  <w:r>
                    <w:rPr>
                      <w:szCs w:val="21"/>
                    </w:rPr>
                    <w:t>镍</w:t>
                  </w:r>
                </w:p>
              </w:tc>
              <w:tc>
                <w:tcPr>
                  <w:tcW w:w="981" w:type="dxa"/>
                  <w:vAlign w:val="center"/>
                </w:tcPr>
                <w:p>
                  <w:pPr>
                    <w:adjustRightInd w:val="0"/>
                    <w:snapToGrid w:val="0"/>
                    <w:jc w:val="center"/>
                    <w:rPr>
                      <w:szCs w:val="21"/>
                    </w:rPr>
                  </w:pPr>
                  <w:r>
                    <w:rPr>
                      <w:szCs w:val="21"/>
                    </w:rPr>
                    <w:t>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13" w:type="dxa"/>
                  <w:vAlign w:val="center"/>
                </w:tcPr>
                <w:p>
                  <w:pPr>
                    <w:adjustRightInd w:val="0"/>
                    <w:snapToGrid w:val="0"/>
                    <w:jc w:val="center"/>
                    <w:rPr>
                      <w:szCs w:val="21"/>
                    </w:rPr>
                  </w:pPr>
                  <w:r>
                    <w:rPr>
                      <w:szCs w:val="21"/>
                    </w:rPr>
                    <w:t>项目所在地</w:t>
                  </w:r>
                </w:p>
              </w:tc>
              <w:tc>
                <w:tcPr>
                  <w:tcW w:w="1700" w:type="dxa"/>
                  <w:vAlign w:val="center"/>
                </w:tcPr>
                <w:p>
                  <w:pPr>
                    <w:adjustRightInd w:val="0"/>
                    <w:snapToGrid w:val="0"/>
                    <w:jc w:val="center"/>
                    <w:rPr>
                      <w:szCs w:val="21"/>
                    </w:rPr>
                  </w:pPr>
                  <w:r>
                    <w:rPr>
                      <w:szCs w:val="21"/>
                    </w:rPr>
                    <w:t>2015年6月1日</w:t>
                  </w:r>
                </w:p>
              </w:tc>
              <w:tc>
                <w:tcPr>
                  <w:tcW w:w="850" w:type="dxa"/>
                  <w:vAlign w:val="center"/>
                </w:tcPr>
                <w:p>
                  <w:pPr>
                    <w:adjustRightInd w:val="0"/>
                    <w:snapToGrid w:val="0"/>
                    <w:jc w:val="center"/>
                    <w:rPr>
                      <w:szCs w:val="21"/>
                    </w:rPr>
                  </w:pPr>
                  <w:r>
                    <w:rPr>
                      <w:szCs w:val="21"/>
                    </w:rPr>
                    <w:t>7.97</w:t>
                  </w:r>
                </w:p>
              </w:tc>
              <w:tc>
                <w:tcPr>
                  <w:tcW w:w="694" w:type="dxa"/>
                  <w:vAlign w:val="center"/>
                </w:tcPr>
                <w:p>
                  <w:pPr>
                    <w:adjustRightInd w:val="0"/>
                    <w:snapToGrid w:val="0"/>
                    <w:jc w:val="center"/>
                    <w:rPr>
                      <w:szCs w:val="21"/>
                    </w:rPr>
                  </w:pPr>
                  <w:r>
                    <w:rPr>
                      <w:szCs w:val="21"/>
                    </w:rPr>
                    <w:t>3.</w:t>
                  </w:r>
                  <w:r>
                    <w:rPr>
                      <w:rFonts w:hint="eastAsia"/>
                      <w:szCs w:val="21"/>
                    </w:rPr>
                    <w:t>1</w:t>
                  </w:r>
                  <w:r>
                    <w:rPr>
                      <w:szCs w:val="21"/>
                    </w:rPr>
                    <w:t>6</w:t>
                  </w:r>
                </w:p>
              </w:tc>
              <w:tc>
                <w:tcPr>
                  <w:tcW w:w="886" w:type="dxa"/>
                  <w:vAlign w:val="center"/>
                </w:tcPr>
                <w:p>
                  <w:pPr>
                    <w:adjustRightInd w:val="0"/>
                    <w:snapToGrid w:val="0"/>
                    <w:jc w:val="center"/>
                    <w:rPr>
                      <w:szCs w:val="21"/>
                    </w:rPr>
                  </w:pPr>
                  <w:r>
                    <w:rPr>
                      <w:szCs w:val="21"/>
                    </w:rPr>
                    <w:t>20.5</w:t>
                  </w:r>
                </w:p>
              </w:tc>
              <w:tc>
                <w:tcPr>
                  <w:tcW w:w="886" w:type="dxa"/>
                  <w:vAlign w:val="center"/>
                </w:tcPr>
                <w:p>
                  <w:pPr>
                    <w:adjustRightInd w:val="0"/>
                    <w:snapToGrid w:val="0"/>
                    <w:jc w:val="center"/>
                    <w:rPr>
                      <w:szCs w:val="21"/>
                    </w:rPr>
                  </w:pPr>
                  <w:r>
                    <w:rPr>
                      <w:szCs w:val="21"/>
                    </w:rPr>
                    <w:t>70.7</w:t>
                  </w:r>
                </w:p>
              </w:tc>
              <w:tc>
                <w:tcPr>
                  <w:tcW w:w="886" w:type="dxa"/>
                  <w:vAlign w:val="center"/>
                </w:tcPr>
                <w:p>
                  <w:pPr>
                    <w:adjustRightInd w:val="0"/>
                    <w:snapToGrid w:val="0"/>
                    <w:jc w:val="center"/>
                    <w:rPr>
                      <w:szCs w:val="21"/>
                    </w:rPr>
                  </w:pPr>
                  <w:r>
                    <w:rPr>
                      <w:szCs w:val="21"/>
                    </w:rPr>
                    <w:t>32.3</w:t>
                  </w:r>
                </w:p>
              </w:tc>
              <w:tc>
                <w:tcPr>
                  <w:tcW w:w="981" w:type="dxa"/>
                  <w:vAlign w:val="center"/>
                </w:tcPr>
                <w:p>
                  <w:pPr>
                    <w:adjustRightInd w:val="0"/>
                    <w:snapToGrid w:val="0"/>
                    <w:jc w:val="center"/>
                    <w:rPr>
                      <w:szCs w:val="21"/>
                    </w:rPr>
                  </w:pPr>
                  <w:r>
                    <w:rPr>
                      <w:szCs w:val="21"/>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3113" w:type="dxa"/>
                  <w:gridSpan w:val="2"/>
                  <w:vAlign w:val="center"/>
                </w:tcPr>
                <w:p>
                  <w:pPr>
                    <w:adjustRightInd w:val="0"/>
                    <w:snapToGrid w:val="0"/>
                    <w:jc w:val="center"/>
                    <w:rPr>
                      <w:szCs w:val="21"/>
                    </w:rPr>
                  </w:pPr>
                  <w:r>
                    <w:rPr>
                      <w:szCs w:val="21"/>
                    </w:rPr>
                    <w:t>标准值</w:t>
                  </w:r>
                </w:p>
              </w:tc>
              <w:tc>
                <w:tcPr>
                  <w:tcW w:w="850" w:type="dxa"/>
                  <w:vAlign w:val="center"/>
                </w:tcPr>
                <w:p>
                  <w:pPr>
                    <w:adjustRightInd w:val="0"/>
                    <w:snapToGrid w:val="0"/>
                    <w:jc w:val="center"/>
                    <w:rPr>
                      <w:szCs w:val="21"/>
                    </w:rPr>
                  </w:pPr>
                  <w:r>
                    <w:rPr>
                      <w:szCs w:val="21"/>
                    </w:rPr>
                    <w:t>&gt;7.5</w:t>
                  </w:r>
                </w:p>
              </w:tc>
              <w:tc>
                <w:tcPr>
                  <w:tcW w:w="694" w:type="dxa"/>
                  <w:vAlign w:val="center"/>
                </w:tcPr>
                <w:p>
                  <w:pPr>
                    <w:adjustRightInd w:val="0"/>
                    <w:snapToGrid w:val="0"/>
                    <w:jc w:val="center"/>
                    <w:rPr>
                      <w:szCs w:val="21"/>
                    </w:rPr>
                  </w:pPr>
                  <w:r>
                    <w:rPr>
                      <w:szCs w:val="21"/>
                    </w:rPr>
                    <w:t>20</w:t>
                  </w:r>
                </w:p>
              </w:tc>
              <w:tc>
                <w:tcPr>
                  <w:tcW w:w="886" w:type="dxa"/>
                  <w:vAlign w:val="center"/>
                </w:tcPr>
                <w:p>
                  <w:pPr>
                    <w:adjustRightInd w:val="0"/>
                    <w:snapToGrid w:val="0"/>
                    <w:jc w:val="center"/>
                    <w:rPr>
                      <w:szCs w:val="21"/>
                    </w:rPr>
                  </w:pPr>
                  <w:r>
                    <w:rPr>
                      <w:szCs w:val="21"/>
                    </w:rPr>
                    <w:t>100</w:t>
                  </w:r>
                </w:p>
              </w:tc>
              <w:tc>
                <w:tcPr>
                  <w:tcW w:w="886" w:type="dxa"/>
                  <w:vAlign w:val="center"/>
                </w:tcPr>
                <w:p>
                  <w:pPr>
                    <w:adjustRightInd w:val="0"/>
                    <w:snapToGrid w:val="0"/>
                    <w:jc w:val="center"/>
                    <w:rPr>
                      <w:szCs w:val="21"/>
                    </w:rPr>
                  </w:pPr>
                  <w:r>
                    <w:rPr>
                      <w:szCs w:val="21"/>
                    </w:rPr>
                    <w:t>35</w:t>
                  </w:r>
                  <w:r>
                    <w:rPr>
                      <w:rFonts w:hint="eastAsia"/>
                      <w:szCs w:val="21"/>
                    </w:rPr>
                    <w:t>0</w:t>
                  </w:r>
                </w:p>
              </w:tc>
              <w:tc>
                <w:tcPr>
                  <w:tcW w:w="886" w:type="dxa"/>
                  <w:vAlign w:val="center"/>
                </w:tcPr>
                <w:p>
                  <w:pPr>
                    <w:adjustRightInd w:val="0"/>
                    <w:snapToGrid w:val="0"/>
                    <w:jc w:val="center"/>
                    <w:rPr>
                      <w:szCs w:val="21"/>
                    </w:rPr>
                  </w:pPr>
                  <w:r>
                    <w:rPr>
                      <w:szCs w:val="21"/>
                    </w:rPr>
                    <w:t>60</w:t>
                  </w:r>
                </w:p>
              </w:tc>
              <w:tc>
                <w:tcPr>
                  <w:tcW w:w="981" w:type="dxa"/>
                  <w:vAlign w:val="center"/>
                </w:tcPr>
                <w:p>
                  <w:pPr>
                    <w:adjustRightInd w:val="0"/>
                    <w:snapToGrid w:val="0"/>
                    <w:jc w:val="center"/>
                    <w:rPr>
                      <w:szCs w:val="21"/>
                    </w:rPr>
                  </w:pPr>
                  <w:r>
                    <w:rPr>
                      <w:szCs w:val="21"/>
                    </w:rPr>
                    <w:t>300</w:t>
                  </w:r>
                </w:p>
              </w:tc>
            </w:tr>
          </w:tbl>
          <w:p>
            <w:pPr>
              <w:spacing w:line="440" w:lineRule="exact"/>
              <w:ind w:firstLine="480" w:firstLineChars="200"/>
              <w:rPr>
                <w:sz w:val="24"/>
              </w:rPr>
            </w:pPr>
            <w:r>
              <w:rPr>
                <w:sz w:val="24"/>
              </w:rPr>
              <w:t>由表4-4可以看出，项目所在地的土壤环境质量监测数据能够达到《土壤环境质量标准》（GB15618-1995）中的二级标准，项目所在地土壤环境质量较好。</w:t>
            </w:r>
          </w:p>
          <w:p>
            <w:pPr>
              <w:spacing w:line="360" w:lineRule="auto"/>
              <w:rPr>
                <w:snapToGrid w:val="0"/>
                <w:color w:val="000000"/>
                <w:sz w:val="24"/>
              </w:rPr>
            </w:pPr>
            <w:r>
              <w:rPr>
                <w:b/>
                <w:sz w:val="24"/>
              </w:rPr>
              <w:t>六、辐射环境和生态环境</w:t>
            </w:r>
          </w:p>
          <w:p>
            <w:pPr>
              <w:spacing w:line="360" w:lineRule="auto"/>
              <w:ind w:firstLine="480" w:firstLineChars="200"/>
              <w:rPr>
                <w:snapToGrid w:val="0"/>
                <w:color w:val="000000"/>
                <w:sz w:val="24"/>
              </w:rPr>
            </w:pPr>
            <w:r>
              <w:rPr>
                <w:snapToGrid w:val="0"/>
                <w:color w:val="000000"/>
                <w:sz w:val="24"/>
              </w:rPr>
              <w:t>建设项目所在地无不良辐射环境和生态环境影响。</w:t>
            </w:r>
          </w:p>
          <w:p>
            <w:pPr>
              <w:spacing w:line="360" w:lineRule="auto"/>
              <w:rPr>
                <w:sz w:val="24"/>
              </w:rPr>
            </w:pPr>
            <w:r>
              <w:rPr>
                <w:b/>
                <w:sz w:val="24"/>
              </w:rPr>
              <w:t>七、主要环境保护目标（列出名单及保护级别）：</w:t>
            </w:r>
          </w:p>
          <w:p>
            <w:pPr>
              <w:adjustRightInd w:val="0"/>
              <w:snapToGrid w:val="0"/>
              <w:ind w:firstLine="422" w:firstLineChars="200"/>
              <w:jc w:val="center"/>
              <w:rPr>
                <w:b/>
              </w:rPr>
            </w:pPr>
            <w:r>
              <w:rPr>
                <w:b/>
              </w:rPr>
              <w:t>表4-5 建设项目周围主要环境保护目标</w:t>
            </w:r>
          </w:p>
          <w:tbl>
            <w:tblPr>
              <w:tblStyle w:val="33"/>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2561"/>
              <w:gridCol w:w="843"/>
              <w:gridCol w:w="1134"/>
              <w:gridCol w:w="1558"/>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blHeader/>
              </w:trPr>
              <w:tc>
                <w:tcPr>
                  <w:tcW w:w="703" w:type="dxa"/>
                  <w:shd w:val="clear" w:color="auto" w:fill="auto"/>
                  <w:vAlign w:val="center"/>
                </w:tcPr>
                <w:p>
                  <w:pPr>
                    <w:jc w:val="center"/>
                    <w:rPr>
                      <w:szCs w:val="21"/>
                    </w:rPr>
                  </w:pPr>
                  <w:r>
                    <w:rPr>
                      <w:szCs w:val="21"/>
                    </w:rPr>
                    <w:t>环境要素</w:t>
                  </w:r>
                </w:p>
              </w:tc>
              <w:tc>
                <w:tcPr>
                  <w:tcW w:w="2561" w:type="dxa"/>
                  <w:shd w:val="clear" w:color="auto" w:fill="auto"/>
                  <w:vAlign w:val="center"/>
                </w:tcPr>
                <w:p>
                  <w:pPr>
                    <w:jc w:val="center"/>
                    <w:rPr>
                      <w:szCs w:val="21"/>
                    </w:rPr>
                  </w:pPr>
                  <w:r>
                    <w:rPr>
                      <w:szCs w:val="21"/>
                    </w:rPr>
                    <w:t>保护对象名称</w:t>
                  </w:r>
                </w:p>
              </w:tc>
              <w:tc>
                <w:tcPr>
                  <w:tcW w:w="843" w:type="dxa"/>
                  <w:shd w:val="clear" w:color="auto" w:fill="auto"/>
                  <w:vAlign w:val="center"/>
                </w:tcPr>
                <w:p>
                  <w:pPr>
                    <w:jc w:val="center"/>
                    <w:rPr>
                      <w:szCs w:val="21"/>
                    </w:rPr>
                  </w:pPr>
                  <w:r>
                    <w:rPr>
                      <w:szCs w:val="21"/>
                    </w:rPr>
                    <w:t>方位</w:t>
                  </w:r>
                </w:p>
              </w:tc>
              <w:tc>
                <w:tcPr>
                  <w:tcW w:w="1134" w:type="dxa"/>
                  <w:shd w:val="clear" w:color="auto" w:fill="auto"/>
                  <w:vAlign w:val="center"/>
                </w:tcPr>
                <w:p>
                  <w:pPr>
                    <w:jc w:val="center"/>
                    <w:rPr>
                      <w:szCs w:val="21"/>
                    </w:rPr>
                  </w:pPr>
                  <w:r>
                    <w:rPr>
                      <w:szCs w:val="21"/>
                    </w:rPr>
                    <w:t>最</w:t>
                  </w:r>
                  <w:r>
                    <w:rPr>
                      <w:rFonts w:hint="eastAsia"/>
                      <w:szCs w:val="21"/>
                    </w:rPr>
                    <w:t>近</w:t>
                  </w:r>
                  <w:r>
                    <w:rPr>
                      <w:szCs w:val="21"/>
                    </w:rPr>
                    <w:t>距离（m）</w:t>
                  </w:r>
                </w:p>
              </w:tc>
              <w:tc>
                <w:tcPr>
                  <w:tcW w:w="1558" w:type="dxa"/>
                  <w:shd w:val="clear" w:color="auto" w:fill="auto"/>
                  <w:vAlign w:val="center"/>
                </w:tcPr>
                <w:p>
                  <w:pPr>
                    <w:jc w:val="center"/>
                    <w:rPr>
                      <w:szCs w:val="21"/>
                    </w:rPr>
                  </w:pPr>
                  <w:r>
                    <w:rPr>
                      <w:szCs w:val="21"/>
                    </w:rPr>
                    <w:t>规模</w:t>
                  </w:r>
                </w:p>
              </w:tc>
              <w:tc>
                <w:tcPr>
                  <w:tcW w:w="1499" w:type="dxa"/>
                  <w:shd w:val="clear" w:color="auto" w:fill="auto"/>
                  <w:vAlign w:val="center"/>
                </w:tcPr>
                <w:p>
                  <w:pPr>
                    <w:jc w:val="center"/>
                    <w:rPr>
                      <w:szCs w:val="21"/>
                    </w:rPr>
                  </w:pPr>
                  <w:r>
                    <w:rPr>
                      <w:szCs w:val="21"/>
                    </w:rPr>
                    <w:t>环境质量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restart"/>
                  <w:shd w:val="clear" w:color="auto" w:fill="auto"/>
                  <w:vAlign w:val="center"/>
                </w:tcPr>
                <w:p>
                  <w:pPr>
                    <w:jc w:val="center"/>
                    <w:rPr>
                      <w:szCs w:val="21"/>
                    </w:rPr>
                  </w:pPr>
                  <w:r>
                    <w:rPr>
                      <w:szCs w:val="21"/>
                    </w:rPr>
                    <w:t>大气</w:t>
                  </w:r>
                </w:p>
              </w:tc>
              <w:tc>
                <w:tcPr>
                  <w:tcW w:w="2561" w:type="dxa"/>
                  <w:shd w:val="clear" w:color="auto" w:fill="auto"/>
                  <w:vAlign w:val="center"/>
                </w:tcPr>
                <w:p>
                  <w:pPr>
                    <w:jc w:val="center"/>
                    <w:rPr>
                      <w:szCs w:val="21"/>
                    </w:rPr>
                  </w:pPr>
                  <w:r>
                    <w:rPr>
                      <w:rFonts w:hint="eastAsia"/>
                      <w:sz w:val="18"/>
                      <w:szCs w:val="21"/>
                    </w:rPr>
                    <w:t>爱普莱斯研发/生活配套用房</w:t>
                  </w:r>
                </w:p>
              </w:tc>
              <w:tc>
                <w:tcPr>
                  <w:tcW w:w="843" w:type="dxa"/>
                  <w:shd w:val="clear" w:color="auto" w:fill="auto"/>
                  <w:vAlign w:val="center"/>
                </w:tcPr>
                <w:p>
                  <w:pPr>
                    <w:jc w:val="center"/>
                    <w:rPr>
                      <w:szCs w:val="21"/>
                    </w:rPr>
                  </w:pPr>
                  <w:r>
                    <w:rPr>
                      <w:rFonts w:hint="eastAsia"/>
                      <w:szCs w:val="21"/>
                    </w:rPr>
                    <w:t>东南</w:t>
                  </w:r>
                </w:p>
              </w:tc>
              <w:tc>
                <w:tcPr>
                  <w:tcW w:w="1134" w:type="dxa"/>
                  <w:shd w:val="clear" w:color="auto" w:fill="auto"/>
                  <w:vAlign w:val="center"/>
                </w:tcPr>
                <w:p>
                  <w:pPr>
                    <w:jc w:val="center"/>
                    <w:rPr>
                      <w:szCs w:val="21"/>
                    </w:rPr>
                  </w:pPr>
                  <w:r>
                    <w:rPr>
                      <w:rFonts w:hint="eastAsia"/>
                      <w:szCs w:val="21"/>
                    </w:rPr>
                    <w:t>17</w:t>
                  </w:r>
                </w:p>
              </w:tc>
              <w:tc>
                <w:tcPr>
                  <w:tcW w:w="1558" w:type="dxa"/>
                  <w:shd w:val="clear" w:color="auto" w:fill="auto"/>
                  <w:vAlign w:val="center"/>
                </w:tcPr>
                <w:p>
                  <w:pPr>
                    <w:jc w:val="center"/>
                    <w:rPr>
                      <w:szCs w:val="21"/>
                    </w:rPr>
                  </w:pPr>
                  <w:r>
                    <w:rPr>
                      <w:rFonts w:hint="eastAsia"/>
                      <w:szCs w:val="21"/>
                    </w:rPr>
                    <w:t>约1600人</w:t>
                  </w:r>
                </w:p>
              </w:tc>
              <w:tc>
                <w:tcPr>
                  <w:tcW w:w="1499" w:type="dxa"/>
                  <w:vMerge w:val="restart"/>
                  <w:shd w:val="clear" w:color="auto" w:fill="auto"/>
                  <w:vAlign w:val="center"/>
                </w:tcPr>
                <w:p>
                  <w:pPr>
                    <w:jc w:val="center"/>
                    <w:rPr>
                      <w:szCs w:val="21"/>
                    </w:rPr>
                  </w:pPr>
                  <w:r>
                    <w:rPr>
                      <w:szCs w:val="21"/>
                    </w:rPr>
                    <w:t>《环境空气质量标准》（GB 3095-2012）中的二级标准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正达</w:t>
                  </w:r>
                  <w:r>
                    <w:rPr>
                      <w:rFonts w:hint="eastAsia"/>
                      <w:szCs w:val="21"/>
                    </w:rPr>
                    <w:t>公寓</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48</w:t>
                  </w:r>
                </w:p>
              </w:tc>
              <w:tc>
                <w:tcPr>
                  <w:tcW w:w="1558" w:type="dxa"/>
                  <w:shd w:val="clear" w:color="auto" w:fill="auto"/>
                  <w:vAlign w:val="center"/>
                </w:tcPr>
                <w:p>
                  <w:pPr>
                    <w:jc w:val="center"/>
                    <w:rPr>
                      <w:szCs w:val="21"/>
                    </w:rPr>
                  </w:pPr>
                  <w:r>
                    <w:rPr>
                      <w:szCs w:val="21"/>
                    </w:rPr>
                    <w:t>约90户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金叶花园</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8</w:t>
                  </w:r>
                  <w:r>
                    <w:rPr>
                      <w:rFonts w:hint="eastAsia"/>
                      <w:szCs w:val="21"/>
                    </w:rPr>
                    <w:t>3</w:t>
                  </w:r>
                </w:p>
              </w:tc>
              <w:tc>
                <w:tcPr>
                  <w:tcW w:w="1558" w:type="dxa"/>
                  <w:shd w:val="clear" w:color="auto" w:fill="auto"/>
                  <w:vAlign w:val="center"/>
                </w:tcPr>
                <w:p>
                  <w:pPr>
                    <w:jc w:val="center"/>
                    <w:rPr>
                      <w:szCs w:val="21"/>
                    </w:rPr>
                  </w:pPr>
                  <w:r>
                    <w:rPr>
                      <w:szCs w:val="21"/>
                    </w:rPr>
                    <w:t>约800户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锦华新城</w:t>
                  </w:r>
                </w:p>
              </w:tc>
              <w:tc>
                <w:tcPr>
                  <w:tcW w:w="843" w:type="dxa"/>
                  <w:shd w:val="clear" w:color="auto" w:fill="auto"/>
                  <w:vAlign w:val="center"/>
                </w:tcPr>
                <w:p>
                  <w:pPr>
                    <w:jc w:val="center"/>
                    <w:rPr>
                      <w:szCs w:val="21"/>
                    </w:rPr>
                  </w:pPr>
                  <w:r>
                    <w:rPr>
                      <w:szCs w:val="21"/>
                    </w:rPr>
                    <w:t>西</w:t>
                  </w:r>
                </w:p>
              </w:tc>
              <w:tc>
                <w:tcPr>
                  <w:tcW w:w="1134" w:type="dxa"/>
                  <w:shd w:val="clear" w:color="auto" w:fill="auto"/>
                  <w:vAlign w:val="center"/>
                </w:tcPr>
                <w:p>
                  <w:pPr>
                    <w:jc w:val="center"/>
                    <w:rPr>
                      <w:szCs w:val="21"/>
                    </w:rPr>
                  </w:pPr>
                  <w:r>
                    <w:rPr>
                      <w:szCs w:val="21"/>
                    </w:rPr>
                    <w:t>3</w:t>
                  </w:r>
                  <w:r>
                    <w:rPr>
                      <w:rFonts w:hint="eastAsia"/>
                      <w:szCs w:val="21"/>
                    </w:rPr>
                    <w:t>2</w:t>
                  </w:r>
                  <w:r>
                    <w:rPr>
                      <w:szCs w:val="21"/>
                    </w:rPr>
                    <w:t>2</w:t>
                  </w:r>
                </w:p>
              </w:tc>
              <w:tc>
                <w:tcPr>
                  <w:tcW w:w="1558" w:type="dxa"/>
                  <w:shd w:val="clear" w:color="auto" w:fill="auto"/>
                  <w:vAlign w:val="center"/>
                </w:tcPr>
                <w:p>
                  <w:pPr>
                    <w:jc w:val="center"/>
                    <w:rPr>
                      <w:szCs w:val="21"/>
                    </w:rPr>
                  </w:pPr>
                  <w:r>
                    <w:rPr>
                      <w:szCs w:val="21"/>
                    </w:rPr>
                    <w:t>约2400户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潘窑</w:t>
                  </w:r>
                </w:p>
              </w:tc>
              <w:tc>
                <w:tcPr>
                  <w:tcW w:w="843" w:type="dxa"/>
                  <w:shd w:val="clear" w:color="auto" w:fill="auto"/>
                  <w:vAlign w:val="center"/>
                </w:tcPr>
                <w:p>
                  <w:pPr>
                    <w:jc w:val="center"/>
                    <w:rPr>
                      <w:szCs w:val="21"/>
                    </w:rPr>
                  </w:pPr>
                  <w:r>
                    <w:rPr>
                      <w:szCs w:val="21"/>
                    </w:rPr>
                    <w:t>南</w:t>
                  </w:r>
                </w:p>
              </w:tc>
              <w:tc>
                <w:tcPr>
                  <w:tcW w:w="1134" w:type="dxa"/>
                  <w:shd w:val="clear" w:color="auto" w:fill="auto"/>
                  <w:vAlign w:val="center"/>
                </w:tcPr>
                <w:p>
                  <w:pPr>
                    <w:jc w:val="center"/>
                    <w:rPr>
                      <w:szCs w:val="21"/>
                    </w:rPr>
                  </w:pPr>
                  <w:r>
                    <w:rPr>
                      <w:szCs w:val="21"/>
                    </w:rPr>
                    <w:t>333</w:t>
                  </w:r>
                </w:p>
              </w:tc>
              <w:tc>
                <w:tcPr>
                  <w:tcW w:w="1558" w:type="dxa"/>
                  <w:shd w:val="clear" w:color="auto" w:fill="auto"/>
                  <w:vAlign w:val="center"/>
                </w:tcPr>
                <w:p>
                  <w:pPr>
                    <w:jc w:val="center"/>
                    <w:rPr>
                      <w:szCs w:val="21"/>
                    </w:rPr>
                  </w:pPr>
                  <w:r>
                    <w:rPr>
                      <w:szCs w:val="21"/>
                    </w:rPr>
                    <w:t>约800户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明发浦泰板桥锦东（未建）</w:t>
                  </w:r>
                </w:p>
              </w:tc>
              <w:tc>
                <w:tcPr>
                  <w:tcW w:w="843" w:type="dxa"/>
                  <w:shd w:val="clear" w:color="auto" w:fill="auto"/>
                  <w:vAlign w:val="center"/>
                </w:tcPr>
                <w:p>
                  <w:pPr>
                    <w:jc w:val="center"/>
                    <w:rPr>
                      <w:szCs w:val="21"/>
                    </w:rPr>
                  </w:pPr>
                  <w:r>
                    <w:rPr>
                      <w:szCs w:val="21"/>
                    </w:rPr>
                    <w:t>西</w:t>
                  </w:r>
                </w:p>
              </w:tc>
              <w:tc>
                <w:tcPr>
                  <w:tcW w:w="1134" w:type="dxa"/>
                  <w:shd w:val="clear" w:color="auto" w:fill="auto"/>
                  <w:vAlign w:val="center"/>
                </w:tcPr>
                <w:p>
                  <w:pPr>
                    <w:jc w:val="center"/>
                    <w:rPr>
                      <w:szCs w:val="21"/>
                    </w:rPr>
                  </w:pPr>
                  <w:r>
                    <w:rPr>
                      <w:szCs w:val="21"/>
                    </w:rPr>
                    <w:t>323</w:t>
                  </w:r>
                </w:p>
              </w:tc>
              <w:tc>
                <w:tcPr>
                  <w:tcW w:w="1558" w:type="dxa"/>
                  <w:shd w:val="clear" w:color="auto" w:fill="auto"/>
                  <w:vAlign w:val="center"/>
                </w:tcPr>
                <w:p>
                  <w:pPr>
                    <w:jc w:val="center"/>
                    <w:rPr>
                      <w:szCs w:val="21"/>
                    </w:rPr>
                  </w:pPr>
                  <w:r>
                    <w:rPr>
                      <w:szCs w:val="21"/>
                    </w:rPr>
                    <w:t>约1300户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雨花开发区管委</w:t>
                  </w:r>
                  <w:r>
                    <w:rPr>
                      <w:rFonts w:hint="eastAsia"/>
                      <w:szCs w:val="21"/>
                    </w:rPr>
                    <w:t>会</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391</w:t>
                  </w:r>
                </w:p>
              </w:tc>
              <w:tc>
                <w:tcPr>
                  <w:tcW w:w="1558" w:type="dxa"/>
                  <w:shd w:val="clear" w:color="auto" w:fill="auto"/>
                  <w:vAlign w:val="center"/>
                </w:tcPr>
                <w:p>
                  <w:pPr>
                    <w:jc w:val="center"/>
                    <w:rPr>
                      <w:szCs w:val="21"/>
                    </w:rPr>
                  </w:pPr>
                  <w:r>
                    <w:rPr>
                      <w:szCs w:val="21"/>
                    </w:rPr>
                    <w:t>-</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近华新村</w:t>
                  </w:r>
                </w:p>
              </w:tc>
              <w:tc>
                <w:tcPr>
                  <w:tcW w:w="843" w:type="dxa"/>
                  <w:shd w:val="clear" w:color="auto" w:fill="auto"/>
                  <w:vAlign w:val="center"/>
                </w:tcPr>
                <w:p>
                  <w:pPr>
                    <w:jc w:val="center"/>
                    <w:rPr>
                      <w:szCs w:val="21"/>
                    </w:rPr>
                  </w:pPr>
                  <w:r>
                    <w:rPr>
                      <w:szCs w:val="21"/>
                    </w:rPr>
                    <w:t>东南</w:t>
                  </w:r>
                </w:p>
              </w:tc>
              <w:tc>
                <w:tcPr>
                  <w:tcW w:w="1134" w:type="dxa"/>
                  <w:shd w:val="clear" w:color="auto" w:fill="auto"/>
                  <w:vAlign w:val="center"/>
                </w:tcPr>
                <w:p>
                  <w:pPr>
                    <w:jc w:val="center"/>
                    <w:rPr>
                      <w:szCs w:val="21"/>
                    </w:rPr>
                  </w:pPr>
                  <w:r>
                    <w:rPr>
                      <w:szCs w:val="21"/>
                    </w:rPr>
                    <w:t>341</w:t>
                  </w:r>
                </w:p>
              </w:tc>
              <w:tc>
                <w:tcPr>
                  <w:tcW w:w="1558" w:type="dxa"/>
                  <w:shd w:val="clear" w:color="auto" w:fill="auto"/>
                  <w:vAlign w:val="center"/>
                </w:tcPr>
                <w:p>
                  <w:pPr>
                    <w:jc w:val="center"/>
                    <w:rPr>
                      <w:szCs w:val="21"/>
                    </w:rPr>
                  </w:pPr>
                  <w:r>
                    <w:rPr>
                      <w:szCs w:val="21"/>
                    </w:rPr>
                    <w:t>约100户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外语学院</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278</w:t>
                  </w:r>
                </w:p>
              </w:tc>
              <w:tc>
                <w:tcPr>
                  <w:tcW w:w="1558" w:type="dxa"/>
                  <w:shd w:val="clear" w:color="auto" w:fill="auto"/>
                  <w:vAlign w:val="center"/>
                </w:tcPr>
                <w:p>
                  <w:pPr>
                    <w:jc w:val="center"/>
                    <w:rPr>
                      <w:szCs w:val="21"/>
                    </w:rPr>
                  </w:pPr>
                  <w:r>
                    <w:rPr>
                      <w:szCs w:val="21"/>
                    </w:rPr>
                    <w:t>师生约5000人</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清香美苑</w:t>
                  </w:r>
                </w:p>
              </w:tc>
              <w:tc>
                <w:tcPr>
                  <w:tcW w:w="843" w:type="dxa"/>
                  <w:shd w:val="clear" w:color="auto" w:fill="auto"/>
                  <w:vAlign w:val="center"/>
                </w:tcPr>
                <w:p>
                  <w:pPr>
                    <w:jc w:val="center"/>
                    <w:rPr>
                      <w:szCs w:val="21"/>
                    </w:rPr>
                  </w:pPr>
                  <w:r>
                    <w:rPr>
                      <w:szCs w:val="21"/>
                    </w:rPr>
                    <w:t>东南</w:t>
                  </w:r>
                </w:p>
              </w:tc>
              <w:tc>
                <w:tcPr>
                  <w:tcW w:w="1134" w:type="dxa"/>
                  <w:shd w:val="clear" w:color="auto" w:fill="auto"/>
                  <w:vAlign w:val="center"/>
                </w:tcPr>
                <w:p>
                  <w:pPr>
                    <w:jc w:val="center"/>
                    <w:rPr>
                      <w:szCs w:val="21"/>
                    </w:rPr>
                  </w:pPr>
                  <w:r>
                    <w:rPr>
                      <w:szCs w:val="21"/>
                    </w:rPr>
                    <w:t>558</w:t>
                  </w:r>
                </w:p>
              </w:tc>
              <w:tc>
                <w:tcPr>
                  <w:tcW w:w="1558" w:type="dxa"/>
                  <w:shd w:val="clear" w:color="auto" w:fill="auto"/>
                  <w:vAlign w:val="center"/>
                </w:tcPr>
                <w:p>
                  <w:pPr>
                    <w:jc w:val="center"/>
                    <w:rPr>
                      <w:szCs w:val="21"/>
                    </w:rPr>
                  </w:pPr>
                  <w:r>
                    <w:rPr>
                      <w:szCs w:val="21"/>
                    </w:rPr>
                    <w:t>约300户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703" w:type="dxa"/>
                  <w:vMerge w:val="restart"/>
                  <w:shd w:val="clear" w:color="auto" w:fill="auto"/>
                  <w:vAlign w:val="center"/>
                </w:tcPr>
                <w:p>
                  <w:pPr>
                    <w:jc w:val="center"/>
                    <w:rPr>
                      <w:szCs w:val="21"/>
                    </w:rPr>
                  </w:pPr>
                  <w:r>
                    <w:rPr>
                      <w:szCs w:val="21"/>
                    </w:rPr>
                    <w:t>声环境</w:t>
                  </w:r>
                </w:p>
              </w:tc>
              <w:tc>
                <w:tcPr>
                  <w:tcW w:w="2561" w:type="dxa"/>
                  <w:shd w:val="clear" w:color="auto" w:fill="auto"/>
                  <w:vAlign w:val="center"/>
                </w:tcPr>
                <w:p>
                  <w:pPr>
                    <w:jc w:val="center"/>
                    <w:rPr>
                      <w:szCs w:val="21"/>
                    </w:rPr>
                  </w:pPr>
                  <w:r>
                    <w:rPr>
                      <w:rFonts w:hint="eastAsia"/>
                      <w:sz w:val="18"/>
                      <w:szCs w:val="21"/>
                    </w:rPr>
                    <w:t>爱普莱斯研发/生活配套用房</w:t>
                  </w:r>
                </w:p>
              </w:tc>
              <w:tc>
                <w:tcPr>
                  <w:tcW w:w="843" w:type="dxa"/>
                  <w:shd w:val="clear" w:color="auto" w:fill="auto"/>
                  <w:vAlign w:val="center"/>
                </w:tcPr>
                <w:p>
                  <w:pPr>
                    <w:jc w:val="center"/>
                    <w:rPr>
                      <w:szCs w:val="21"/>
                    </w:rPr>
                  </w:pPr>
                  <w:r>
                    <w:rPr>
                      <w:rFonts w:hint="eastAsia"/>
                      <w:szCs w:val="21"/>
                    </w:rPr>
                    <w:t>东南</w:t>
                  </w:r>
                </w:p>
              </w:tc>
              <w:tc>
                <w:tcPr>
                  <w:tcW w:w="1134" w:type="dxa"/>
                  <w:shd w:val="clear" w:color="auto" w:fill="auto"/>
                  <w:vAlign w:val="center"/>
                </w:tcPr>
                <w:p>
                  <w:pPr>
                    <w:jc w:val="center"/>
                    <w:rPr>
                      <w:szCs w:val="21"/>
                    </w:rPr>
                  </w:pPr>
                  <w:r>
                    <w:rPr>
                      <w:rFonts w:hint="eastAsia"/>
                      <w:szCs w:val="21"/>
                    </w:rPr>
                    <w:t>17</w:t>
                  </w:r>
                </w:p>
              </w:tc>
              <w:tc>
                <w:tcPr>
                  <w:tcW w:w="1558" w:type="dxa"/>
                  <w:shd w:val="clear" w:color="auto" w:fill="auto"/>
                  <w:vAlign w:val="center"/>
                </w:tcPr>
                <w:p>
                  <w:pPr>
                    <w:jc w:val="center"/>
                    <w:rPr>
                      <w:szCs w:val="21"/>
                    </w:rPr>
                  </w:pPr>
                  <w:r>
                    <w:rPr>
                      <w:rFonts w:hint="eastAsia"/>
                      <w:szCs w:val="21"/>
                    </w:rPr>
                    <w:t>约1600人</w:t>
                  </w:r>
                </w:p>
              </w:tc>
              <w:tc>
                <w:tcPr>
                  <w:tcW w:w="1499" w:type="dxa"/>
                  <w:vMerge w:val="restart"/>
                  <w:shd w:val="clear" w:color="auto" w:fill="auto"/>
                  <w:vAlign w:val="center"/>
                </w:tcPr>
                <w:p>
                  <w:pPr>
                    <w:jc w:val="center"/>
                    <w:rPr>
                      <w:szCs w:val="21"/>
                    </w:rPr>
                  </w:pPr>
                  <w:r>
                    <w:rPr>
                      <w:szCs w:val="21"/>
                    </w:rPr>
                    <w:t xml:space="preserve">《声环境质量标准》（GB 3096-2008 </w:t>
                  </w:r>
                  <w:r>
                    <w:rPr>
                      <w:rFonts w:hint="eastAsia"/>
                      <w:szCs w:val="21"/>
                    </w:rPr>
                    <w:t>）</w:t>
                  </w:r>
                  <w:r>
                    <w:rPr>
                      <w:szCs w:val="21"/>
                    </w:rPr>
                    <w:t>2类标准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正达公寓</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48</w:t>
                  </w:r>
                </w:p>
              </w:tc>
              <w:tc>
                <w:tcPr>
                  <w:tcW w:w="1558" w:type="dxa"/>
                  <w:shd w:val="clear" w:color="auto" w:fill="auto"/>
                  <w:vAlign w:val="center"/>
                </w:tcPr>
                <w:p>
                  <w:pPr>
                    <w:jc w:val="center"/>
                    <w:rPr>
                      <w:szCs w:val="21"/>
                    </w:rPr>
                  </w:pPr>
                  <w:r>
                    <w:rPr>
                      <w:szCs w:val="21"/>
                    </w:rPr>
                    <w:t>约90户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金叶花园</w:t>
                  </w:r>
                </w:p>
              </w:tc>
              <w:tc>
                <w:tcPr>
                  <w:tcW w:w="843" w:type="dxa"/>
                  <w:shd w:val="clear" w:color="auto" w:fill="auto"/>
                  <w:vAlign w:val="center"/>
                </w:tcPr>
                <w:p>
                  <w:pPr>
                    <w:jc w:val="center"/>
                    <w:rPr>
                      <w:szCs w:val="21"/>
                    </w:rPr>
                  </w:pPr>
                  <w:r>
                    <w:rPr>
                      <w:szCs w:val="21"/>
                    </w:rPr>
                    <w:t>东</w:t>
                  </w:r>
                </w:p>
              </w:tc>
              <w:tc>
                <w:tcPr>
                  <w:tcW w:w="1134" w:type="dxa"/>
                  <w:shd w:val="clear" w:color="auto" w:fill="auto"/>
                  <w:vAlign w:val="center"/>
                </w:tcPr>
                <w:p>
                  <w:pPr>
                    <w:jc w:val="center"/>
                    <w:rPr>
                      <w:szCs w:val="21"/>
                    </w:rPr>
                  </w:pPr>
                  <w:r>
                    <w:rPr>
                      <w:szCs w:val="21"/>
                    </w:rPr>
                    <w:t>83</w:t>
                  </w:r>
                </w:p>
              </w:tc>
              <w:tc>
                <w:tcPr>
                  <w:tcW w:w="1558" w:type="dxa"/>
                  <w:shd w:val="clear" w:color="auto" w:fill="auto"/>
                  <w:vAlign w:val="center"/>
                </w:tcPr>
                <w:p>
                  <w:pPr>
                    <w:jc w:val="center"/>
                    <w:rPr>
                      <w:szCs w:val="21"/>
                    </w:rPr>
                  </w:pPr>
                  <w:r>
                    <w:rPr>
                      <w:szCs w:val="21"/>
                    </w:rPr>
                    <w:t>约800户</w:t>
                  </w:r>
                </w:p>
              </w:tc>
              <w:tc>
                <w:tcPr>
                  <w:tcW w:w="1499"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03" w:type="dxa"/>
                  <w:vMerge w:val="continue"/>
                  <w:shd w:val="clear" w:color="auto" w:fill="auto"/>
                  <w:vAlign w:val="center"/>
                </w:tcPr>
                <w:p>
                  <w:pPr>
                    <w:jc w:val="center"/>
                    <w:rPr>
                      <w:szCs w:val="21"/>
                    </w:rPr>
                  </w:pPr>
                </w:p>
              </w:tc>
              <w:tc>
                <w:tcPr>
                  <w:tcW w:w="2561" w:type="dxa"/>
                  <w:shd w:val="clear" w:color="auto" w:fill="auto"/>
                  <w:vAlign w:val="center"/>
                </w:tcPr>
                <w:p>
                  <w:pPr>
                    <w:jc w:val="center"/>
                    <w:rPr>
                      <w:szCs w:val="21"/>
                    </w:rPr>
                  </w:pPr>
                  <w:r>
                    <w:rPr>
                      <w:szCs w:val="21"/>
                    </w:rPr>
                    <w:t>厂界</w:t>
                  </w:r>
                </w:p>
              </w:tc>
              <w:tc>
                <w:tcPr>
                  <w:tcW w:w="843" w:type="dxa"/>
                  <w:shd w:val="clear" w:color="auto" w:fill="auto"/>
                  <w:vAlign w:val="center"/>
                </w:tcPr>
                <w:p>
                  <w:pPr>
                    <w:jc w:val="center"/>
                    <w:rPr>
                      <w:szCs w:val="21"/>
                    </w:rPr>
                  </w:pPr>
                  <w:r>
                    <w:rPr>
                      <w:szCs w:val="21"/>
                    </w:rPr>
                    <w:t>—</w:t>
                  </w:r>
                </w:p>
              </w:tc>
              <w:tc>
                <w:tcPr>
                  <w:tcW w:w="1134" w:type="dxa"/>
                  <w:shd w:val="clear" w:color="auto" w:fill="auto"/>
                  <w:vAlign w:val="center"/>
                </w:tcPr>
                <w:p>
                  <w:pPr>
                    <w:jc w:val="center"/>
                    <w:rPr>
                      <w:szCs w:val="21"/>
                    </w:rPr>
                  </w:pPr>
                  <w:r>
                    <w:rPr>
                      <w:szCs w:val="21"/>
                    </w:rPr>
                    <w:t>1m</w:t>
                  </w:r>
                </w:p>
              </w:tc>
              <w:tc>
                <w:tcPr>
                  <w:tcW w:w="1558" w:type="dxa"/>
                  <w:shd w:val="clear" w:color="auto" w:fill="auto"/>
                  <w:vAlign w:val="center"/>
                </w:tcPr>
                <w:p>
                  <w:pPr>
                    <w:jc w:val="center"/>
                    <w:rPr>
                      <w:szCs w:val="21"/>
                    </w:rPr>
                  </w:pPr>
                  <w:r>
                    <w:rPr>
                      <w:szCs w:val="21"/>
                    </w:rPr>
                    <w:t>—</w:t>
                  </w:r>
                </w:p>
              </w:tc>
              <w:tc>
                <w:tcPr>
                  <w:tcW w:w="1499" w:type="dxa"/>
                  <w:shd w:val="clear" w:color="auto" w:fill="auto"/>
                  <w:vAlign w:val="center"/>
                </w:tcPr>
                <w:p>
                  <w:pPr>
                    <w:jc w:val="center"/>
                    <w:rPr>
                      <w:szCs w:val="21"/>
                    </w:rPr>
                  </w:pPr>
                  <w:r>
                    <w:rPr>
                      <w:szCs w:val="21"/>
                    </w:rPr>
                    <w:t xml:space="preserve">《声环境质量标准》（GB 3096-2008 </w:t>
                  </w:r>
                  <w:r>
                    <w:rPr>
                      <w:rFonts w:hint="eastAsia"/>
                      <w:szCs w:val="21"/>
                    </w:rPr>
                    <w:t>）</w:t>
                  </w:r>
                  <w:r>
                    <w:rPr>
                      <w:szCs w:val="21"/>
                    </w:rPr>
                    <w:t xml:space="preserve"> 3类标准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 w:hRule="atLeast"/>
              </w:trPr>
              <w:tc>
                <w:tcPr>
                  <w:tcW w:w="703" w:type="dxa"/>
                  <w:shd w:val="clear" w:color="auto" w:fill="auto"/>
                  <w:vAlign w:val="center"/>
                </w:tcPr>
                <w:p>
                  <w:pPr>
                    <w:jc w:val="center"/>
                    <w:rPr>
                      <w:szCs w:val="21"/>
                    </w:rPr>
                  </w:pPr>
                  <w:r>
                    <w:rPr>
                      <w:szCs w:val="21"/>
                    </w:rPr>
                    <w:t>水环境</w:t>
                  </w:r>
                </w:p>
              </w:tc>
              <w:tc>
                <w:tcPr>
                  <w:tcW w:w="2561" w:type="dxa"/>
                  <w:shd w:val="clear" w:color="auto" w:fill="auto"/>
                  <w:vAlign w:val="center"/>
                </w:tcPr>
                <w:p>
                  <w:pPr>
                    <w:jc w:val="center"/>
                    <w:rPr>
                      <w:szCs w:val="21"/>
                    </w:rPr>
                  </w:pPr>
                  <w:r>
                    <w:rPr>
                      <w:szCs w:val="21"/>
                    </w:rPr>
                    <w:t>长江</w:t>
                  </w:r>
                </w:p>
              </w:tc>
              <w:tc>
                <w:tcPr>
                  <w:tcW w:w="843" w:type="dxa"/>
                  <w:shd w:val="clear" w:color="auto" w:fill="auto"/>
                  <w:vAlign w:val="center"/>
                </w:tcPr>
                <w:p>
                  <w:pPr>
                    <w:jc w:val="center"/>
                    <w:rPr>
                      <w:szCs w:val="21"/>
                    </w:rPr>
                  </w:pPr>
                  <w:r>
                    <w:rPr>
                      <w:szCs w:val="21"/>
                    </w:rPr>
                    <w:t>W</w:t>
                  </w:r>
                </w:p>
              </w:tc>
              <w:tc>
                <w:tcPr>
                  <w:tcW w:w="1134" w:type="dxa"/>
                  <w:shd w:val="clear" w:color="auto" w:fill="auto"/>
                  <w:vAlign w:val="center"/>
                </w:tcPr>
                <w:p>
                  <w:pPr>
                    <w:jc w:val="center"/>
                    <w:rPr>
                      <w:szCs w:val="21"/>
                    </w:rPr>
                  </w:pPr>
                  <w:r>
                    <w:rPr>
                      <w:szCs w:val="21"/>
                    </w:rPr>
                    <w:t>3200</w:t>
                  </w:r>
                </w:p>
              </w:tc>
              <w:tc>
                <w:tcPr>
                  <w:tcW w:w="3057" w:type="dxa"/>
                  <w:gridSpan w:val="2"/>
                  <w:shd w:val="clear" w:color="auto" w:fill="auto"/>
                  <w:vAlign w:val="center"/>
                </w:tcPr>
                <w:p>
                  <w:pPr>
                    <w:jc w:val="center"/>
                    <w:rPr>
                      <w:szCs w:val="21"/>
                    </w:rPr>
                  </w:pPr>
                  <w:r>
                    <w:rPr>
                      <w:szCs w:val="21"/>
                    </w:rPr>
                    <w:t>《地表水环境质量标准》</w:t>
                  </w:r>
                  <w:r>
                    <w:rPr>
                      <w:rFonts w:hint="eastAsia"/>
                      <w:szCs w:val="21"/>
                    </w:rPr>
                    <w:t>（</w:t>
                  </w:r>
                  <w:r>
                    <w:rPr>
                      <w:szCs w:val="21"/>
                    </w:rPr>
                    <w:t>GB 3527-2002</w:t>
                  </w:r>
                  <w:r>
                    <w:rPr>
                      <w:rFonts w:hint="eastAsia"/>
                      <w:szCs w:val="21"/>
                    </w:rPr>
                    <w:t>）</w:t>
                  </w:r>
                  <w:r>
                    <w:rPr>
                      <w:szCs w:val="21"/>
                    </w:rPr>
                    <w:t xml:space="preserve"> </w:t>
                  </w:r>
                  <w:r>
                    <w:rPr>
                      <w:szCs w:val="21"/>
                    </w:rPr>
                    <w:fldChar w:fldCharType="begin"/>
                  </w:r>
                  <w:r>
                    <w:rPr>
                      <w:szCs w:val="21"/>
                    </w:rPr>
                    <w:instrText xml:space="preserve"> = 2 \* ROMAN </w:instrText>
                  </w:r>
                  <w:r>
                    <w:rPr>
                      <w:szCs w:val="21"/>
                    </w:rPr>
                    <w:fldChar w:fldCharType="separate"/>
                  </w:r>
                  <w:r>
                    <w:rPr>
                      <w:szCs w:val="21"/>
                    </w:rPr>
                    <w:t>II</w:t>
                  </w:r>
                  <w:r>
                    <w:rPr>
                      <w:szCs w:val="21"/>
                    </w:rPr>
                    <w:fldChar w:fldCharType="end"/>
                  </w:r>
                  <w:r>
                    <w:rPr>
                      <w:szCs w:val="21"/>
                    </w:rPr>
                    <w:t>类标准</w:t>
                  </w:r>
                </w:p>
              </w:tc>
            </w:tr>
          </w:tbl>
          <w:p>
            <w:pPr>
              <w:spacing w:line="360" w:lineRule="auto"/>
              <w:rPr>
                <w:color w:val="000000"/>
                <w:sz w:val="10"/>
                <w:szCs w:val="10"/>
              </w:rPr>
            </w:pPr>
          </w:p>
          <w:p>
            <w:pPr>
              <w:spacing w:line="360" w:lineRule="auto"/>
              <w:rPr>
                <w:color w:val="000000"/>
                <w:sz w:val="10"/>
                <w:szCs w:val="10"/>
              </w:rPr>
            </w:pPr>
          </w:p>
        </w:tc>
      </w:tr>
    </w:tbl>
    <w:p>
      <w:pPr>
        <w:outlineLvl w:val="0"/>
        <w:rPr>
          <w:rFonts w:eastAsia="黑体"/>
          <w:color w:val="000000"/>
          <w:sz w:val="24"/>
        </w:rPr>
      </w:pPr>
      <w:r>
        <w:rPr>
          <w:color w:val="000000"/>
          <w:sz w:val="24"/>
        </w:rPr>
        <w:br w:type="page"/>
      </w:r>
      <w:r>
        <w:rPr>
          <w:color w:val="000000"/>
          <w:sz w:val="24"/>
        </w:rPr>
        <w:t>5、</w:t>
      </w:r>
      <w:r>
        <w:rPr>
          <w:b/>
          <w:color w:val="000000"/>
          <w:sz w:val="24"/>
        </w:rPr>
        <w:t>评价适用标准</w:t>
      </w:r>
    </w:p>
    <w:tbl>
      <w:tblPr>
        <w:tblStyle w:val="33"/>
        <w:tblW w:w="8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7" w:hRule="atLeast"/>
        </w:trPr>
        <w:tc>
          <w:tcPr>
            <w:tcW w:w="682" w:type="dxa"/>
            <w:vAlign w:val="center"/>
          </w:tcPr>
          <w:p>
            <w:pPr>
              <w:spacing w:line="360" w:lineRule="auto"/>
              <w:jc w:val="center"/>
              <w:rPr>
                <w:color w:val="000000"/>
                <w:sz w:val="24"/>
              </w:rPr>
            </w:pPr>
            <w:r>
              <w:rPr>
                <w:color w:val="000000"/>
                <w:sz w:val="24"/>
              </w:rPr>
              <w:t>环</w:t>
            </w:r>
          </w:p>
          <w:p>
            <w:pPr>
              <w:spacing w:line="360" w:lineRule="auto"/>
              <w:jc w:val="center"/>
              <w:rPr>
                <w:color w:val="000000"/>
                <w:sz w:val="24"/>
              </w:rPr>
            </w:pPr>
            <w:r>
              <w:rPr>
                <w:color w:val="000000"/>
                <w:sz w:val="24"/>
              </w:rPr>
              <w:t>境</w:t>
            </w:r>
          </w:p>
          <w:p>
            <w:pPr>
              <w:spacing w:line="360" w:lineRule="auto"/>
              <w:jc w:val="center"/>
              <w:rPr>
                <w:color w:val="000000"/>
                <w:sz w:val="24"/>
              </w:rPr>
            </w:pPr>
            <w:r>
              <w:rPr>
                <w:color w:val="000000"/>
                <w:sz w:val="24"/>
              </w:rPr>
              <w:t>质</w:t>
            </w:r>
          </w:p>
          <w:p>
            <w:pPr>
              <w:spacing w:line="360" w:lineRule="auto"/>
              <w:jc w:val="center"/>
              <w:rPr>
                <w:color w:val="000000"/>
                <w:sz w:val="24"/>
              </w:rPr>
            </w:pPr>
            <w:r>
              <w:rPr>
                <w:color w:val="000000"/>
                <w:sz w:val="24"/>
              </w:rPr>
              <w:t>量</w:t>
            </w:r>
          </w:p>
          <w:p>
            <w:pPr>
              <w:spacing w:line="360" w:lineRule="auto"/>
              <w:jc w:val="center"/>
              <w:rPr>
                <w:color w:val="000000"/>
                <w:sz w:val="24"/>
              </w:rPr>
            </w:pPr>
            <w:r>
              <w:rPr>
                <w:color w:val="000000"/>
                <w:sz w:val="24"/>
              </w:rPr>
              <w:t>标</w:t>
            </w:r>
          </w:p>
          <w:p>
            <w:pPr>
              <w:spacing w:line="360" w:lineRule="auto"/>
              <w:jc w:val="center"/>
              <w:rPr>
                <w:color w:val="000000"/>
                <w:sz w:val="24"/>
              </w:rPr>
            </w:pPr>
            <w:r>
              <w:rPr>
                <w:color w:val="000000"/>
                <w:sz w:val="24"/>
              </w:rPr>
              <w:t>准</w:t>
            </w:r>
          </w:p>
        </w:tc>
        <w:tc>
          <w:tcPr>
            <w:tcW w:w="7796" w:type="dxa"/>
            <w:vAlign w:val="center"/>
          </w:tcPr>
          <w:p>
            <w:pPr>
              <w:spacing w:line="360" w:lineRule="auto"/>
              <w:rPr>
                <w:b/>
                <w:color w:val="000000"/>
                <w:sz w:val="24"/>
              </w:rPr>
            </w:pPr>
            <w:r>
              <w:rPr>
                <w:b/>
                <w:color w:val="000000"/>
                <w:sz w:val="24"/>
              </w:rPr>
              <w:t>一、环境空气质量标准</w:t>
            </w:r>
          </w:p>
          <w:p>
            <w:pPr>
              <w:spacing w:line="360" w:lineRule="auto"/>
              <w:ind w:firstLine="480" w:firstLineChars="200"/>
              <w:rPr>
                <w:color w:val="000000"/>
                <w:sz w:val="24"/>
              </w:rPr>
            </w:pPr>
            <w:r>
              <w:rPr>
                <w:color w:val="000000"/>
                <w:sz w:val="24"/>
              </w:rPr>
              <w:t>项目所在区域大气环境质量标准执行《环境空气质量标准》（GB3095-2012）二级标准，具体标准值见表5-1。</w:t>
            </w:r>
          </w:p>
          <w:p>
            <w:pPr>
              <w:adjustRightInd w:val="0"/>
              <w:snapToGrid w:val="0"/>
              <w:ind w:firstLine="422" w:firstLineChars="200"/>
              <w:jc w:val="center"/>
              <w:rPr>
                <w:color w:val="000000"/>
                <w:sz w:val="24"/>
              </w:rPr>
            </w:pPr>
            <w:r>
              <w:rPr>
                <w:b/>
              </w:rPr>
              <w:t>表5-1 环境空气质量标准  (单位：mg/m</w:t>
            </w:r>
            <w:r>
              <w:rPr>
                <w:b/>
                <w:vertAlign w:val="superscript"/>
              </w:rPr>
              <w:t>3</w:t>
            </w:r>
            <w:r>
              <w:rPr>
                <w:b/>
              </w:rPr>
              <w:t>)</w:t>
            </w:r>
          </w:p>
          <w:tbl>
            <w:tblPr>
              <w:tblStyle w:val="33"/>
              <w:tblW w:w="75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1"/>
              <w:gridCol w:w="1738"/>
              <w:gridCol w:w="1520"/>
              <w:gridCol w:w="121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1" w:type="dxa"/>
                  <w:vAlign w:val="center"/>
                </w:tcPr>
                <w:p>
                  <w:pPr>
                    <w:jc w:val="center"/>
                    <w:rPr>
                      <w:color w:val="000000"/>
                    </w:rPr>
                  </w:pPr>
                  <w:r>
                    <w:rPr>
                      <w:color w:val="000000"/>
                    </w:rPr>
                    <w:t>项目</w:t>
                  </w:r>
                </w:p>
              </w:tc>
              <w:tc>
                <w:tcPr>
                  <w:tcW w:w="1738" w:type="dxa"/>
                  <w:vAlign w:val="center"/>
                </w:tcPr>
                <w:p>
                  <w:pPr>
                    <w:jc w:val="center"/>
                    <w:rPr>
                      <w:color w:val="000000"/>
                    </w:rPr>
                  </w:pPr>
                  <w:r>
                    <w:rPr>
                      <w:color w:val="000000"/>
                    </w:rPr>
                    <w:t>SO</w:t>
                  </w:r>
                  <w:r>
                    <w:rPr>
                      <w:color w:val="000000"/>
                      <w:vertAlign w:val="subscript"/>
                    </w:rPr>
                    <w:t>2</w:t>
                  </w:r>
                </w:p>
              </w:tc>
              <w:tc>
                <w:tcPr>
                  <w:tcW w:w="1520" w:type="dxa"/>
                  <w:vAlign w:val="center"/>
                </w:tcPr>
                <w:p>
                  <w:pPr>
                    <w:jc w:val="center"/>
                    <w:rPr>
                      <w:color w:val="000000"/>
                    </w:rPr>
                  </w:pPr>
                  <w:r>
                    <w:rPr>
                      <w:color w:val="000000"/>
                    </w:rPr>
                    <w:t>TSP</w:t>
                  </w:r>
                </w:p>
              </w:tc>
              <w:tc>
                <w:tcPr>
                  <w:tcW w:w="1216" w:type="dxa"/>
                  <w:vAlign w:val="center"/>
                </w:tcPr>
                <w:p>
                  <w:pPr>
                    <w:jc w:val="center"/>
                    <w:rPr>
                      <w:color w:val="000000"/>
                    </w:rPr>
                  </w:pPr>
                  <w:r>
                    <w:rPr>
                      <w:color w:val="000000"/>
                    </w:rPr>
                    <w:t>PM</w:t>
                  </w:r>
                  <w:r>
                    <w:rPr>
                      <w:color w:val="000000"/>
                      <w:vertAlign w:val="subscript"/>
                    </w:rPr>
                    <w:t>10</w:t>
                  </w:r>
                </w:p>
              </w:tc>
              <w:tc>
                <w:tcPr>
                  <w:tcW w:w="1299" w:type="dxa"/>
                  <w:vAlign w:val="center"/>
                </w:tcPr>
                <w:p>
                  <w:pPr>
                    <w:jc w:val="center"/>
                    <w:rPr>
                      <w:color w:val="000000"/>
                    </w:rPr>
                  </w:pPr>
                  <w:r>
                    <w:rPr>
                      <w:color w:val="000000"/>
                    </w:rPr>
                    <w:t>NO</w:t>
                  </w:r>
                  <w:r>
                    <w:rPr>
                      <w:color w:val="00000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1" w:type="dxa"/>
                  <w:vAlign w:val="center"/>
                </w:tcPr>
                <w:p>
                  <w:pPr>
                    <w:jc w:val="center"/>
                    <w:rPr>
                      <w:color w:val="000000"/>
                    </w:rPr>
                  </w:pPr>
                  <w:r>
                    <w:rPr>
                      <w:color w:val="000000"/>
                    </w:rPr>
                    <w:t>年均浓度</w:t>
                  </w:r>
                </w:p>
              </w:tc>
              <w:tc>
                <w:tcPr>
                  <w:tcW w:w="1738" w:type="dxa"/>
                  <w:vAlign w:val="center"/>
                </w:tcPr>
                <w:p>
                  <w:pPr>
                    <w:jc w:val="center"/>
                    <w:rPr>
                      <w:color w:val="000000"/>
                    </w:rPr>
                  </w:pPr>
                  <w:r>
                    <w:rPr>
                      <w:color w:val="000000"/>
                    </w:rPr>
                    <w:t>0.06</w:t>
                  </w:r>
                </w:p>
              </w:tc>
              <w:tc>
                <w:tcPr>
                  <w:tcW w:w="1520" w:type="dxa"/>
                  <w:vAlign w:val="center"/>
                </w:tcPr>
                <w:p>
                  <w:pPr>
                    <w:jc w:val="center"/>
                    <w:rPr>
                      <w:color w:val="000000"/>
                    </w:rPr>
                  </w:pPr>
                  <w:r>
                    <w:rPr>
                      <w:color w:val="000000"/>
                    </w:rPr>
                    <w:t>0.20</w:t>
                  </w:r>
                </w:p>
              </w:tc>
              <w:tc>
                <w:tcPr>
                  <w:tcW w:w="1216" w:type="dxa"/>
                  <w:vAlign w:val="center"/>
                </w:tcPr>
                <w:p>
                  <w:pPr>
                    <w:jc w:val="center"/>
                    <w:rPr>
                      <w:color w:val="000000"/>
                    </w:rPr>
                  </w:pPr>
                  <w:r>
                    <w:rPr>
                      <w:color w:val="000000"/>
                    </w:rPr>
                    <w:t>0.07</w:t>
                  </w:r>
                </w:p>
              </w:tc>
              <w:tc>
                <w:tcPr>
                  <w:tcW w:w="1299" w:type="dxa"/>
                  <w:vAlign w:val="center"/>
                </w:tcPr>
                <w:p>
                  <w:pPr>
                    <w:jc w:val="center"/>
                    <w:rPr>
                      <w:color w:val="000000"/>
                    </w:rPr>
                  </w:pPr>
                  <w:r>
                    <w:rPr>
                      <w:color w:val="000000"/>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1" w:type="dxa"/>
                  <w:vAlign w:val="center"/>
                </w:tcPr>
                <w:p>
                  <w:pPr>
                    <w:jc w:val="center"/>
                    <w:rPr>
                      <w:color w:val="000000"/>
                    </w:rPr>
                  </w:pPr>
                  <w:r>
                    <w:rPr>
                      <w:color w:val="000000"/>
                    </w:rPr>
                    <w:t>日平均浓度</w:t>
                  </w:r>
                </w:p>
              </w:tc>
              <w:tc>
                <w:tcPr>
                  <w:tcW w:w="1738" w:type="dxa"/>
                  <w:vAlign w:val="center"/>
                </w:tcPr>
                <w:p>
                  <w:pPr>
                    <w:jc w:val="center"/>
                    <w:rPr>
                      <w:color w:val="000000"/>
                    </w:rPr>
                  </w:pPr>
                  <w:r>
                    <w:rPr>
                      <w:color w:val="000000"/>
                    </w:rPr>
                    <w:t>0.15</w:t>
                  </w:r>
                </w:p>
              </w:tc>
              <w:tc>
                <w:tcPr>
                  <w:tcW w:w="1520" w:type="dxa"/>
                  <w:vAlign w:val="center"/>
                </w:tcPr>
                <w:p>
                  <w:pPr>
                    <w:jc w:val="center"/>
                    <w:rPr>
                      <w:color w:val="000000"/>
                    </w:rPr>
                  </w:pPr>
                  <w:r>
                    <w:rPr>
                      <w:color w:val="000000"/>
                    </w:rPr>
                    <w:t>0.30</w:t>
                  </w:r>
                </w:p>
              </w:tc>
              <w:tc>
                <w:tcPr>
                  <w:tcW w:w="1216" w:type="dxa"/>
                  <w:vAlign w:val="center"/>
                </w:tcPr>
                <w:p>
                  <w:pPr>
                    <w:jc w:val="center"/>
                    <w:rPr>
                      <w:color w:val="000000"/>
                    </w:rPr>
                  </w:pPr>
                  <w:r>
                    <w:rPr>
                      <w:color w:val="000000"/>
                    </w:rPr>
                    <w:t>0.15</w:t>
                  </w:r>
                </w:p>
              </w:tc>
              <w:tc>
                <w:tcPr>
                  <w:tcW w:w="1299" w:type="dxa"/>
                  <w:vAlign w:val="center"/>
                </w:tcPr>
                <w:p>
                  <w:pPr>
                    <w:jc w:val="center"/>
                    <w:rPr>
                      <w:color w:val="000000"/>
                    </w:rPr>
                  </w:pPr>
                  <w:r>
                    <w:rPr>
                      <w:color w:val="000000"/>
                    </w:rPr>
                    <w:t>0.</w:t>
                  </w:r>
                  <w:r>
                    <w:rPr>
                      <w:rFonts w:hint="eastAsia"/>
                      <w:color w:val="000000"/>
                    </w:rPr>
                    <w:t>0</w:t>
                  </w:r>
                  <w:r>
                    <w:rPr>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1" w:type="dxa"/>
                  <w:vAlign w:val="center"/>
                </w:tcPr>
                <w:p>
                  <w:pPr>
                    <w:jc w:val="center"/>
                    <w:rPr>
                      <w:color w:val="000000"/>
                    </w:rPr>
                  </w:pPr>
                  <w:r>
                    <w:rPr>
                      <w:color w:val="000000"/>
                    </w:rPr>
                    <w:t>1小时平均浓度</w:t>
                  </w:r>
                </w:p>
              </w:tc>
              <w:tc>
                <w:tcPr>
                  <w:tcW w:w="1738" w:type="dxa"/>
                  <w:vAlign w:val="center"/>
                </w:tcPr>
                <w:p>
                  <w:pPr>
                    <w:jc w:val="center"/>
                    <w:rPr>
                      <w:color w:val="000000"/>
                    </w:rPr>
                  </w:pPr>
                  <w:r>
                    <w:rPr>
                      <w:color w:val="000000"/>
                    </w:rPr>
                    <w:t>0.50</w:t>
                  </w:r>
                </w:p>
              </w:tc>
              <w:tc>
                <w:tcPr>
                  <w:tcW w:w="1520" w:type="dxa"/>
                  <w:vAlign w:val="center"/>
                </w:tcPr>
                <w:p>
                  <w:pPr>
                    <w:jc w:val="center"/>
                    <w:rPr>
                      <w:color w:val="000000"/>
                    </w:rPr>
                  </w:pPr>
                  <w:r>
                    <w:rPr>
                      <w:color w:val="000000"/>
                    </w:rPr>
                    <w:t>-</w:t>
                  </w:r>
                </w:p>
              </w:tc>
              <w:tc>
                <w:tcPr>
                  <w:tcW w:w="1216" w:type="dxa"/>
                  <w:vAlign w:val="center"/>
                </w:tcPr>
                <w:p>
                  <w:pPr>
                    <w:jc w:val="center"/>
                    <w:rPr>
                      <w:color w:val="000000"/>
                    </w:rPr>
                  </w:pPr>
                  <w:r>
                    <w:rPr>
                      <w:color w:val="000000"/>
                    </w:rPr>
                    <w:t>-</w:t>
                  </w:r>
                </w:p>
              </w:tc>
              <w:tc>
                <w:tcPr>
                  <w:tcW w:w="1299" w:type="dxa"/>
                  <w:vAlign w:val="center"/>
                </w:tcPr>
                <w:p>
                  <w:pPr>
                    <w:jc w:val="center"/>
                    <w:rPr>
                      <w:color w:val="000000"/>
                    </w:rPr>
                  </w:pPr>
                  <w:r>
                    <w:rPr>
                      <w:color w:val="000000"/>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1" w:type="dxa"/>
                  <w:vAlign w:val="center"/>
                </w:tcPr>
                <w:p>
                  <w:pPr>
                    <w:jc w:val="center"/>
                    <w:rPr>
                      <w:color w:val="000000"/>
                    </w:rPr>
                  </w:pPr>
                  <w:r>
                    <w:rPr>
                      <w:color w:val="000000"/>
                    </w:rPr>
                    <w:t>标准来源</w:t>
                  </w:r>
                </w:p>
              </w:tc>
              <w:tc>
                <w:tcPr>
                  <w:tcW w:w="5773" w:type="dxa"/>
                  <w:gridSpan w:val="4"/>
                  <w:vAlign w:val="center"/>
                </w:tcPr>
                <w:p>
                  <w:pPr>
                    <w:jc w:val="center"/>
                    <w:rPr>
                      <w:color w:val="000000"/>
                    </w:rPr>
                  </w:pPr>
                  <w:r>
                    <w:rPr>
                      <w:color w:val="000000"/>
                      <w:szCs w:val="21"/>
                    </w:rPr>
                    <w:t>《环境空气质量标准》（GB3095-2012）二级标准</w:t>
                  </w:r>
                </w:p>
              </w:tc>
            </w:tr>
          </w:tbl>
          <w:p>
            <w:pPr>
              <w:spacing w:line="360" w:lineRule="auto"/>
              <w:rPr>
                <w:color w:val="000000"/>
                <w:sz w:val="24"/>
              </w:rPr>
            </w:pPr>
            <w:r>
              <w:rPr>
                <w:b/>
                <w:color w:val="000000"/>
                <w:sz w:val="24"/>
              </w:rPr>
              <w:t>二、水环境质量标准</w:t>
            </w:r>
          </w:p>
          <w:p>
            <w:pPr>
              <w:snapToGrid w:val="0"/>
              <w:spacing w:line="360" w:lineRule="auto"/>
              <w:ind w:firstLine="480" w:firstLineChars="200"/>
              <w:rPr>
                <w:sz w:val="24"/>
              </w:rPr>
            </w:pPr>
            <w:r>
              <w:rPr>
                <w:sz w:val="24"/>
              </w:rPr>
              <w:t>根据《江苏省地表水（环境）功能区划》（苏政发（2003）29号）相关规定，评价区域长江段执行《地表水环境质量标准》（GB3527-2002）中的</w:t>
            </w:r>
            <w:r>
              <w:rPr>
                <w:rFonts w:hint="eastAsia" w:ascii="宋体" w:hAnsi="宋体" w:cs="宋体"/>
                <w:sz w:val="24"/>
              </w:rPr>
              <w:t>Ⅱ</w:t>
            </w:r>
            <w:r>
              <w:rPr>
                <w:sz w:val="24"/>
              </w:rPr>
              <w:t>类，SS参照《地表水资源标准》（SL63-94）中的相应标准，详见表5-2。</w:t>
            </w:r>
          </w:p>
          <w:p>
            <w:pPr>
              <w:adjustRightInd w:val="0"/>
              <w:snapToGrid w:val="0"/>
              <w:ind w:firstLine="422" w:firstLineChars="200"/>
              <w:jc w:val="center"/>
              <w:rPr>
                <w:b/>
              </w:rPr>
            </w:pPr>
            <w:r>
              <w:rPr>
                <w:b/>
              </w:rPr>
              <w:t>表5-2  地表水环境质量标准</w:t>
            </w:r>
          </w:p>
          <w:tbl>
            <w:tblPr>
              <w:tblStyle w:val="33"/>
              <w:tblW w:w="7574" w:type="dxa"/>
              <w:tblInd w:w="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12"/>
              <w:gridCol w:w="1733"/>
              <w:gridCol w:w="3239"/>
              <w:gridCol w:w="169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序号</w:t>
                  </w:r>
                </w:p>
              </w:tc>
              <w:tc>
                <w:tcPr>
                  <w:tcW w:w="1733" w:type="dxa"/>
                  <w:vAlign w:val="center"/>
                </w:tcPr>
                <w:p>
                  <w:pPr>
                    <w:jc w:val="center"/>
                  </w:pPr>
                  <w:r>
                    <w:t>参数</w:t>
                  </w:r>
                </w:p>
              </w:tc>
              <w:tc>
                <w:tcPr>
                  <w:tcW w:w="3239" w:type="dxa"/>
                  <w:vAlign w:val="center"/>
                </w:tcPr>
                <w:p>
                  <w:pPr>
                    <w:jc w:val="center"/>
                  </w:pPr>
                  <w:r>
                    <w:rPr>
                      <w:rFonts w:hint="eastAsia" w:ascii="宋体" w:hAnsi="宋体" w:cs="宋体"/>
                    </w:rPr>
                    <w:t>Ⅱ</w:t>
                  </w:r>
                  <w:r>
                    <w:t>类(mg/L)</w:t>
                  </w:r>
                </w:p>
              </w:tc>
              <w:tc>
                <w:tcPr>
                  <w:tcW w:w="1690" w:type="dxa"/>
                  <w:vAlign w:val="center"/>
                </w:tcPr>
                <w:p>
                  <w:pPr>
                    <w:jc w:val="center"/>
                  </w:pPr>
                  <w:r>
                    <w:t>标准来源</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1</w:t>
                  </w:r>
                </w:p>
              </w:tc>
              <w:tc>
                <w:tcPr>
                  <w:tcW w:w="1733" w:type="dxa"/>
                  <w:vAlign w:val="center"/>
                </w:tcPr>
                <w:p>
                  <w:pPr>
                    <w:jc w:val="center"/>
                  </w:pPr>
                  <w:r>
                    <w:t>pH（无量纲）</w:t>
                  </w:r>
                </w:p>
              </w:tc>
              <w:tc>
                <w:tcPr>
                  <w:tcW w:w="3239" w:type="dxa"/>
                  <w:vAlign w:val="center"/>
                </w:tcPr>
                <w:p>
                  <w:pPr>
                    <w:jc w:val="center"/>
                  </w:pPr>
                  <w:r>
                    <w:t>6~9</w:t>
                  </w:r>
                </w:p>
              </w:tc>
              <w:tc>
                <w:tcPr>
                  <w:tcW w:w="1690" w:type="dxa"/>
                  <w:vMerge w:val="restart"/>
                  <w:vAlign w:val="center"/>
                </w:tcPr>
                <w:p>
                  <w:pPr>
                    <w:jc w:val="center"/>
                  </w:pPr>
                  <w:r>
                    <w:t>GB</w:t>
                  </w:r>
                  <w:r>
                    <w:rPr>
                      <w:rFonts w:hint="eastAsia"/>
                    </w:rPr>
                    <w:t>3</w:t>
                  </w:r>
                  <w:r>
                    <w:t>527-2002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2</w:t>
                  </w:r>
                </w:p>
              </w:tc>
              <w:tc>
                <w:tcPr>
                  <w:tcW w:w="1733" w:type="dxa"/>
                  <w:vAlign w:val="center"/>
                </w:tcPr>
                <w:p>
                  <w:pPr>
                    <w:jc w:val="center"/>
                  </w:pPr>
                  <w:r>
                    <w:t>COD</w:t>
                  </w:r>
                </w:p>
              </w:tc>
              <w:tc>
                <w:tcPr>
                  <w:tcW w:w="3239" w:type="dxa"/>
                  <w:vAlign w:val="center"/>
                </w:tcPr>
                <w:p>
                  <w:pPr>
                    <w:jc w:val="center"/>
                  </w:pPr>
                  <w:r>
                    <w:rPr>
                      <w:rFonts w:hint="eastAsia"/>
                    </w:rPr>
                    <w:t>1</w:t>
                  </w:r>
                  <w:r>
                    <w:t>5</w:t>
                  </w:r>
                </w:p>
              </w:tc>
              <w:tc>
                <w:tcPr>
                  <w:tcW w:w="1690" w:type="dxa"/>
                  <w:vMerge w:val="continue"/>
                  <w:vAlign w:val="center"/>
                </w:tcPr>
                <w:p>
                  <w:pPr>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3</w:t>
                  </w:r>
                </w:p>
              </w:tc>
              <w:tc>
                <w:tcPr>
                  <w:tcW w:w="1733" w:type="dxa"/>
                  <w:vAlign w:val="center"/>
                </w:tcPr>
                <w:p>
                  <w:pPr>
                    <w:jc w:val="center"/>
                  </w:pPr>
                  <w:r>
                    <w:t>氨氮</w:t>
                  </w:r>
                </w:p>
              </w:tc>
              <w:tc>
                <w:tcPr>
                  <w:tcW w:w="3239" w:type="dxa"/>
                  <w:vAlign w:val="center"/>
                </w:tcPr>
                <w:p>
                  <w:pPr>
                    <w:jc w:val="center"/>
                  </w:pPr>
                  <w:r>
                    <w:t>0.5</w:t>
                  </w:r>
                </w:p>
              </w:tc>
              <w:tc>
                <w:tcPr>
                  <w:tcW w:w="1690" w:type="dxa"/>
                  <w:vMerge w:val="continue"/>
                  <w:vAlign w:val="center"/>
                </w:tcPr>
                <w:p>
                  <w:pPr>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4</w:t>
                  </w:r>
                </w:p>
              </w:tc>
              <w:tc>
                <w:tcPr>
                  <w:tcW w:w="1733" w:type="dxa"/>
                  <w:vAlign w:val="center"/>
                </w:tcPr>
                <w:p>
                  <w:pPr>
                    <w:jc w:val="center"/>
                  </w:pPr>
                  <w:r>
                    <w:t>TP</w:t>
                  </w:r>
                </w:p>
              </w:tc>
              <w:tc>
                <w:tcPr>
                  <w:tcW w:w="3239" w:type="dxa"/>
                  <w:vAlign w:val="center"/>
                </w:tcPr>
                <w:p>
                  <w:pPr>
                    <w:jc w:val="center"/>
                  </w:pPr>
                  <w:r>
                    <w:t>0.1</w:t>
                  </w:r>
                </w:p>
              </w:tc>
              <w:tc>
                <w:tcPr>
                  <w:tcW w:w="1690" w:type="dxa"/>
                  <w:vMerge w:val="continue"/>
                  <w:vAlign w:val="center"/>
                </w:tcPr>
                <w:p>
                  <w:pPr>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5</w:t>
                  </w:r>
                </w:p>
              </w:tc>
              <w:tc>
                <w:tcPr>
                  <w:tcW w:w="1733" w:type="dxa"/>
                  <w:vAlign w:val="center"/>
                </w:tcPr>
                <w:p>
                  <w:pPr>
                    <w:jc w:val="center"/>
                  </w:pPr>
                  <w:r>
                    <w:t>石油类</w:t>
                  </w:r>
                </w:p>
              </w:tc>
              <w:tc>
                <w:tcPr>
                  <w:tcW w:w="3239" w:type="dxa"/>
                  <w:vAlign w:val="center"/>
                </w:tcPr>
                <w:p>
                  <w:pPr>
                    <w:jc w:val="center"/>
                  </w:pPr>
                  <w:r>
                    <w:t>0.</w:t>
                  </w:r>
                  <w:r>
                    <w:rPr>
                      <w:rFonts w:hint="eastAsia"/>
                    </w:rPr>
                    <w:t>0</w:t>
                  </w:r>
                  <w:r>
                    <w:t>5</w:t>
                  </w:r>
                </w:p>
              </w:tc>
              <w:tc>
                <w:tcPr>
                  <w:tcW w:w="1690" w:type="dxa"/>
                  <w:vMerge w:val="continue"/>
                  <w:vAlign w:val="center"/>
                </w:tcPr>
                <w:p>
                  <w:pPr>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6</w:t>
                  </w:r>
                </w:p>
              </w:tc>
              <w:tc>
                <w:tcPr>
                  <w:tcW w:w="1733" w:type="dxa"/>
                  <w:vAlign w:val="center"/>
                </w:tcPr>
                <w:p>
                  <w:pPr>
                    <w:jc w:val="center"/>
                  </w:pPr>
                  <w:r>
                    <w:t>高锰酸盐指</w:t>
                  </w:r>
                  <w:r>
                    <w:cr/>
                  </w:r>
                </w:p>
              </w:tc>
              <w:tc>
                <w:tcPr>
                  <w:tcW w:w="3239" w:type="dxa"/>
                  <w:vAlign w:val="center"/>
                </w:tcPr>
                <w:p>
                  <w:pPr>
                    <w:jc w:val="center"/>
                  </w:pPr>
                  <w:r>
                    <w:t>4</w:t>
                  </w:r>
                </w:p>
              </w:tc>
              <w:tc>
                <w:tcPr>
                  <w:tcW w:w="1690" w:type="dxa"/>
                  <w:vMerge w:val="continue"/>
                  <w:vAlign w:val="center"/>
                </w:tcPr>
                <w:p>
                  <w:pPr>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59" w:hRule="atLeast"/>
              </w:trPr>
              <w:tc>
                <w:tcPr>
                  <w:tcW w:w="912" w:type="dxa"/>
                  <w:vAlign w:val="center"/>
                </w:tcPr>
                <w:p>
                  <w:pPr>
                    <w:jc w:val="center"/>
                  </w:pPr>
                  <w:r>
                    <w:t>7</w:t>
                  </w:r>
                </w:p>
              </w:tc>
              <w:tc>
                <w:tcPr>
                  <w:tcW w:w="1733" w:type="dxa"/>
                  <w:vAlign w:val="center"/>
                </w:tcPr>
                <w:p>
                  <w:pPr>
                    <w:jc w:val="center"/>
                  </w:pPr>
                  <w:r>
                    <w:t>SS</w:t>
                  </w:r>
                </w:p>
              </w:tc>
              <w:tc>
                <w:tcPr>
                  <w:tcW w:w="3239" w:type="dxa"/>
                  <w:vAlign w:val="center"/>
                </w:tcPr>
                <w:p>
                  <w:pPr>
                    <w:jc w:val="center"/>
                  </w:pPr>
                  <w:r>
                    <w:t>25</w:t>
                  </w:r>
                </w:p>
              </w:tc>
              <w:tc>
                <w:tcPr>
                  <w:tcW w:w="1690" w:type="dxa"/>
                  <w:vAlign w:val="center"/>
                </w:tcPr>
                <w:p>
                  <w:pPr>
                    <w:jc w:val="center"/>
                  </w:pPr>
                  <w:r>
                    <w:t>SL63-94</w:t>
                  </w:r>
                </w:p>
              </w:tc>
            </w:tr>
          </w:tbl>
          <w:p>
            <w:pPr>
              <w:spacing w:line="360" w:lineRule="auto"/>
              <w:rPr>
                <w:b/>
                <w:color w:val="000000"/>
                <w:sz w:val="24"/>
              </w:rPr>
            </w:pPr>
            <w:r>
              <w:rPr>
                <w:b/>
                <w:color w:val="000000"/>
                <w:sz w:val="24"/>
              </w:rPr>
              <w:t>三、声环境质量标准</w:t>
            </w:r>
          </w:p>
          <w:p>
            <w:pPr>
              <w:spacing w:line="360" w:lineRule="auto"/>
              <w:ind w:firstLine="480" w:firstLineChars="200"/>
              <w:rPr>
                <w:sz w:val="24"/>
              </w:rPr>
            </w:pPr>
            <w:r>
              <w:rPr>
                <w:sz w:val="24"/>
              </w:rPr>
              <w:t>项目区域声环境执行《声环境质量标准》（GB3096-2008）3类</w:t>
            </w:r>
            <w:r>
              <w:rPr>
                <w:rFonts w:hint="eastAsia"/>
                <w:sz w:val="24"/>
              </w:rPr>
              <w:t>、4a类</w:t>
            </w:r>
            <w:r>
              <w:rPr>
                <w:sz w:val="24"/>
              </w:rPr>
              <w:t>标准，具体标准值见表5-3。</w:t>
            </w:r>
          </w:p>
          <w:p>
            <w:pPr>
              <w:adjustRightInd w:val="0"/>
              <w:snapToGrid w:val="0"/>
              <w:ind w:firstLine="422" w:firstLineChars="200"/>
              <w:jc w:val="center"/>
              <w:rPr>
                <w:b/>
              </w:rPr>
            </w:pPr>
            <w:r>
              <w:rPr>
                <w:b/>
              </w:rPr>
              <w:t>表5-3 声环境质量标准 （单位：等效声级LeqdB(A)]）</w:t>
            </w:r>
          </w:p>
          <w:tbl>
            <w:tblPr>
              <w:tblStyle w:val="33"/>
              <w:tblW w:w="7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3063"/>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 w:hRule="atLeast"/>
                <w:jc w:val="center"/>
              </w:trPr>
              <w:tc>
                <w:tcPr>
                  <w:tcW w:w="1440" w:type="dxa"/>
                  <w:vMerge w:val="restart"/>
                  <w:vAlign w:val="center"/>
                </w:tcPr>
                <w:p>
                  <w:pPr>
                    <w:spacing w:line="320" w:lineRule="exact"/>
                    <w:jc w:val="center"/>
                    <w:rPr>
                      <w:szCs w:val="21"/>
                    </w:rPr>
                  </w:pPr>
                  <w:r>
                    <w:rPr>
                      <w:szCs w:val="21"/>
                    </w:rPr>
                    <w:t>类别</w:t>
                  </w:r>
                </w:p>
              </w:tc>
              <w:tc>
                <w:tcPr>
                  <w:tcW w:w="6130" w:type="dxa"/>
                  <w:gridSpan w:val="2"/>
                  <w:vAlign w:val="center"/>
                </w:tcPr>
                <w:p>
                  <w:pPr>
                    <w:spacing w:line="320" w:lineRule="exact"/>
                    <w:jc w:val="center"/>
                    <w:rPr>
                      <w:szCs w:val="21"/>
                    </w:rPr>
                  </w:pPr>
                  <w:r>
                    <w:rPr>
                      <w:szCs w:val="21"/>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 w:hRule="atLeast"/>
                <w:jc w:val="center"/>
              </w:trPr>
              <w:tc>
                <w:tcPr>
                  <w:tcW w:w="1440" w:type="dxa"/>
                  <w:vMerge w:val="continue"/>
                  <w:vAlign w:val="center"/>
                </w:tcPr>
                <w:p>
                  <w:pPr>
                    <w:spacing w:line="320" w:lineRule="exact"/>
                    <w:jc w:val="center"/>
                    <w:rPr>
                      <w:szCs w:val="21"/>
                    </w:rPr>
                  </w:pPr>
                </w:p>
              </w:tc>
              <w:tc>
                <w:tcPr>
                  <w:tcW w:w="3063" w:type="dxa"/>
                  <w:vAlign w:val="center"/>
                </w:tcPr>
                <w:p>
                  <w:pPr>
                    <w:spacing w:line="320" w:lineRule="exact"/>
                    <w:jc w:val="center"/>
                    <w:rPr>
                      <w:szCs w:val="21"/>
                    </w:rPr>
                  </w:pPr>
                  <w:r>
                    <w:rPr>
                      <w:szCs w:val="21"/>
                    </w:rPr>
                    <w:t>昼</w:t>
                  </w:r>
                  <w:r>
                    <w:rPr>
                      <w:rFonts w:hint="eastAsia"/>
                      <w:szCs w:val="21"/>
                    </w:rPr>
                    <w:t>间</w:t>
                  </w:r>
                </w:p>
              </w:tc>
              <w:tc>
                <w:tcPr>
                  <w:tcW w:w="3067" w:type="dxa"/>
                  <w:vAlign w:val="center"/>
                </w:tcPr>
                <w:p>
                  <w:pPr>
                    <w:spacing w:line="320" w:lineRule="exact"/>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 w:hRule="atLeast"/>
                <w:jc w:val="center"/>
              </w:trPr>
              <w:tc>
                <w:tcPr>
                  <w:tcW w:w="1440" w:type="dxa"/>
                  <w:vAlign w:val="center"/>
                </w:tcPr>
                <w:p>
                  <w:pPr>
                    <w:spacing w:line="320" w:lineRule="exact"/>
                    <w:jc w:val="center"/>
                    <w:rPr>
                      <w:szCs w:val="21"/>
                    </w:rPr>
                  </w:pPr>
                  <w:r>
                    <w:rPr>
                      <w:szCs w:val="21"/>
                    </w:rPr>
                    <w:t>3类</w:t>
                  </w:r>
                </w:p>
              </w:tc>
              <w:tc>
                <w:tcPr>
                  <w:tcW w:w="3063" w:type="dxa"/>
                  <w:vAlign w:val="center"/>
                </w:tcPr>
                <w:p>
                  <w:pPr>
                    <w:spacing w:line="320" w:lineRule="exact"/>
                    <w:jc w:val="center"/>
                    <w:rPr>
                      <w:szCs w:val="21"/>
                    </w:rPr>
                  </w:pPr>
                  <w:r>
                    <w:rPr>
                      <w:szCs w:val="21"/>
                    </w:rPr>
                    <w:t>65</w:t>
                  </w:r>
                </w:p>
              </w:tc>
              <w:tc>
                <w:tcPr>
                  <w:tcW w:w="3067" w:type="dxa"/>
                  <w:vAlign w:val="center"/>
                </w:tcPr>
                <w:p>
                  <w:pPr>
                    <w:spacing w:line="320" w:lineRule="exact"/>
                    <w:jc w:val="center"/>
                    <w:rPr>
                      <w:szCs w:val="21"/>
                    </w:rPr>
                  </w:pPr>
                  <w:r>
                    <w:rPr>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 w:hRule="atLeast"/>
                <w:jc w:val="center"/>
              </w:trPr>
              <w:tc>
                <w:tcPr>
                  <w:tcW w:w="1440" w:type="dxa"/>
                  <w:vAlign w:val="center"/>
                </w:tcPr>
                <w:p>
                  <w:pPr>
                    <w:spacing w:line="320" w:lineRule="exact"/>
                    <w:jc w:val="center"/>
                    <w:rPr>
                      <w:szCs w:val="21"/>
                    </w:rPr>
                  </w:pPr>
                  <w:r>
                    <w:rPr>
                      <w:rFonts w:hint="eastAsia"/>
                      <w:szCs w:val="21"/>
                    </w:rPr>
                    <w:t>4a类</w:t>
                  </w:r>
                </w:p>
              </w:tc>
              <w:tc>
                <w:tcPr>
                  <w:tcW w:w="3063" w:type="dxa"/>
                  <w:vAlign w:val="center"/>
                </w:tcPr>
                <w:p>
                  <w:pPr>
                    <w:spacing w:line="320" w:lineRule="exact"/>
                    <w:jc w:val="center"/>
                    <w:rPr>
                      <w:szCs w:val="21"/>
                    </w:rPr>
                  </w:pPr>
                  <w:r>
                    <w:rPr>
                      <w:rFonts w:hint="eastAsia"/>
                      <w:szCs w:val="21"/>
                    </w:rPr>
                    <w:t>70</w:t>
                  </w:r>
                </w:p>
              </w:tc>
              <w:tc>
                <w:tcPr>
                  <w:tcW w:w="3067" w:type="dxa"/>
                  <w:vAlign w:val="center"/>
                </w:tcPr>
                <w:p>
                  <w:pPr>
                    <w:spacing w:line="320" w:lineRule="exact"/>
                    <w:jc w:val="center"/>
                    <w:rPr>
                      <w:szCs w:val="21"/>
                    </w:rPr>
                  </w:pPr>
                  <w:r>
                    <w:rPr>
                      <w:rFonts w:hint="eastAsia"/>
                      <w:szCs w:val="21"/>
                    </w:rPr>
                    <w:t>55</w:t>
                  </w:r>
                </w:p>
              </w:tc>
            </w:tr>
          </w:tbl>
          <w:p>
            <w:pPr>
              <w:spacing w:line="360" w:lineRule="auto"/>
              <w:jc w:val="center"/>
              <w:outlineLvl w:val="0"/>
              <w:rPr>
                <w:sz w:val="24"/>
              </w:rPr>
            </w:pPr>
          </w:p>
          <w:p>
            <w:pPr>
              <w:spacing w:line="360" w:lineRule="auto"/>
              <w:jc w:val="center"/>
              <w:outlineLvl w:val="0"/>
              <w:rPr>
                <w:sz w:val="24"/>
              </w:rPr>
            </w:pPr>
          </w:p>
          <w:p>
            <w:pPr>
              <w:spacing w:line="360" w:lineRule="auto"/>
              <w:jc w:val="center"/>
              <w:outlineLvl w:val="0"/>
              <w:rPr>
                <w:rFonts w:hint="eastAsia"/>
                <w:sz w:val="24"/>
              </w:rPr>
            </w:pPr>
          </w:p>
          <w:p>
            <w:pPr>
              <w:spacing w:line="360" w:lineRule="auto"/>
              <w:jc w:val="center"/>
              <w:outlineLvl w:val="0"/>
              <w:rPr>
                <w:color w:val="00000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682" w:type="dxa"/>
            <w:vAlign w:val="center"/>
          </w:tcPr>
          <w:p>
            <w:pPr>
              <w:spacing w:line="360" w:lineRule="auto"/>
              <w:jc w:val="center"/>
              <w:rPr>
                <w:color w:val="000000"/>
                <w:sz w:val="24"/>
              </w:rPr>
            </w:pPr>
            <w:r>
              <w:rPr>
                <w:color w:val="000000"/>
                <w:sz w:val="24"/>
              </w:rPr>
              <w:t>污</w:t>
            </w:r>
          </w:p>
          <w:p>
            <w:pPr>
              <w:spacing w:line="360" w:lineRule="auto"/>
              <w:jc w:val="center"/>
              <w:rPr>
                <w:color w:val="000000"/>
                <w:sz w:val="24"/>
              </w:rPr>
            </w:pPr>
            <w:r>
              <w:rPr>
                <w:color w:val="000000"/>
                <w:sz w:val="24"/>
              </w:rPr>
              <w:t>染</w:t>
            </w:r>
          </w:p>
          <w:p>
            <w:pPr>
              <w:spacing w:line="360" w:lineRule="auto"/>
              <w:jc w:val="center"/>
              <w:rPr>
                <w:color w:val="000000"/>
                <w:sz w:val="24"/>
              </w:rPr>
            </w:pPr>
            <w:r>
              <w:rPr>
                <w:color w:val="000000"/>
                <w:sz w:val="24"/>
              </w:rPr>
              <w:t>物</w:t>
            </w:r>
          </w:p>
          <w:p>
            <w:pPr>
              <w:spacing w:line="360" w:lineRule="auto"/>
              <w:jc w:val="center"/>
              <w:rPr>
                <w:color w:val="000000"/>
                <w:sz w:val="24"/>
              </w:rPr>
            </w:pPr>
            <w:r>
              <w:rPr>
                <w:color w:val="000000"/>
                <w:sz w:val="24"/>
              </w:rPr>
              <w:t>排</w:t>
            </w:r>
          </w:p>
          <w:p>
            <w:pPr>
              <w:spacing w:line="360" w:lineRule="auto"/>
              <w:jc w:val="center"/>
              <w:rPr>
                <w:color w:val="000000"/>
                <w:sz w:val="24"/>
              </w:rPr>
            </w:pPr>
            <w:r>
              <w:rPr>
                <w:color w:val="000000"/>
                <w:sz w:val="24"/>
              </w:rPr>
              <w:t>放</w:t>
            </w:r>
          </w:p>
          <w:p>
            <w:pPr>
              <w:spacing w:line="360" w:lineRule="auto"/>
              <w:jc w:val="center"/>
              <w:rPr>
                <w:color w:val="000000"/>
                <w:sz w:val="24"/>
              </w:rPr>
            </w:pPr>
            <w:r>
              <w:rPr>
                <w:color w:val="000000"/>
                <w:sz w:val="24"/>
              </w:rPr>
              <w:t>标</w:t>
            </w:r>
          </w:p>
          <w:p>
            <w:pPr>
              <w:spacing w:line="360" w:lineRule="auto"/>
              <w:jc w:val="center"/>
              <w:rPr>
                <w:color w:val="000000"/>
                <w:sz w:val="24"/>
              </w:rPr>
            </w:pPr>
            <w:r>
              <w:rPr>
                <w:color w:val="000000"/>
                <w:sz w:val="24"/>
              </w:rPr>
              <w:t>准</w:t>
            </w:r>
          </w:p>
        </w:tc>
        <w:tc>
          <w:tcPr>
            <w:tcW w:w="7796" w:type="dxa"/>
            <w:vAlign w:val="center"/>
          </w:tcPr>
          <w:p>
            <w:pPr>
              <w:spacing w:line="360" w:lineRule="auto"/>
              <w:rPr>
                <w:b/>
                <w:color w:val="000000"/>
                <w:sz w:val="24"/>
              </w:rPr>
            </w:pPr>
            <w:r>
              <w:rPr>
                <w:b/>
                <w:color w:val="000000"/>
                <w:sz w:val="24"/>
              </w:rPr>
              <w:t>一、大气污染物排放标准</w:t>
            </w:r>
          </w:p>
          <w:p>
            <w:pPr>
              <w:spacing w:line="360" w:lineRule="auto"/>
              <w:ind w:firstLine="480" w:firstLineChars="200"/>
              <w:rPr>
                <w:color w:val="000000"/>
                <w:sz w:val="24"/>
              </w:rPr>
            </w:pPr>
            <w:r>
              <w:rPr>
                <w:rFonts w:hint="eastAsia"/>
                <w:sz w:val="24"/>
              </w:rPr>
              <w:t>建设项目货物</w:t>
            </w:r>
            <w:r>
              <w:rPr>
                <w:sz w:val="24"/>
              </w:rPr>
              <w:t>运输车辆及起重转运设备尾气中的NO</w:t>
            </w:r>
            <w:r>
              <w:rPr>
                <w:sz w:val="24"/>
                <w:vertAlign w:val="subscript"/>
              </w:rPr>
              <w:t>x</w:t>
            </w:r>
            <w:r>
              <w:rPr>
                <w:sz w:val="24"/>
              </w:rPr>
              <w:t>排放标准参照执行《大气污染物综合排放标准》（GB 16297-1996）表3中厂界无组织排放监控浓度限值，而尾气中的CO排放标准则参照工作场所有害因素职业接触限值(GBZ 2.1-2007)中的允许浓度</w:t>
            </w:r>
            <w:r>
              <w:rPr>
                <w:color w:val="000000"/>
                <w:sz w:val="24"/>
              </w:rPr>
              <w:t>。</w:t>
            </w:r>
          </w:p>
          <w:p>
            <w:pPr>
              <w:adjustRightInd w:val="0"/>
              <w:snapToGrid w:val="0"/>
              <w:jc w:val="center"/>
              <w:rPr>
                <w:b/>
              </w:rPr>
            </w:pPr>
            <w:r>
              <w:rPr>
                <w:b/>
              </w:rPr>
              <w:t>表5-4 大气污染物综合排放标准</w:t>
            </w:r>
          </w:p>
          <w:tbl>
            <w:tblPr>
              <w:tblStyle w:val="33"/>
              <w:tblW w:w="7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2136"/>
              <w:gridCol w:w="152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78" w:type="dxa"/>
                  <w:vAlign w:val="center"/>
                </w:tcPr>
                <w:p>
                  <w:pPr>
                    <w:pStyle w:val="72"/>
                    <w:rPr>
                      <w:rFonts w:ascii="Times New Roman" w:hAnsi="Times New Roman" w:eastAsia="宋体"/>
                      <w:sz w:val="21"/>
                      <w:szCs w:val="21"/>
                    </w:rPr>
                  </w:pPr>
                  <w:r>
                    <w:rPr>
                      <w:rFonts w:ascii="Times New Roman" w:hAnsi="Times New Roman" w:eastAsia="宋体"/>
                      <w:sz w:val="21"/>
                      <w:szCs w:val="21"/>
                    </w:rPr>
                    <w:t>污染物</w:t>
                  </w:r>
                </w:p>
              </w:tc>
              <w:tc>
                <w:tcPr>
                  <w:tcW w:w="2136" w:type="dxa"/>
                  <w:vAlign w:val="center"/>
                </w:tcPr>
                <w:p>
                  <w:pPr>
                    <w:pStyle w:val="72"/>
                    <w:rPr>
                      <w:rFonts w:ascii="Times New Roman" w:hAnsi="Times New Roman" w:eastAsia="宋体"/>
                      <w:sz w:val="21"/>
                      <w:szCs w:val="21"/>
                    </w:rPr>
                  </w:pPr>
                  <w:r>
                    <w:rPr>
                      <w:rFonts w:ascii="Times New Roman" w:hAnsi="Times New Roman" w:eastAsia="宋体"/>
                      <w:sz w:val="21"/>
                      <w:szCs w:val="21"/>
                    </w:rPr>
                    <w:t>标准类型</w:t>
                  </w:r>
                </w:p>
              </w:tc>
              <w:tc>
                <w:tcPr>
                  <w:tcW w:w="1528" w:type="dxa"/>
                  <w:vAlign w:val="center"/>
                </w:tcPr>
                <w:p>
                  <w:pPr>
                    <w:pStyle w:val="72"/>
                    <w:rPr>
                      <w:rFonts w:ascii="Times New Roman" w:hAnsi="Times New Roman" w:eastAsia="宋体"/>
                      <w:sz w:val="21"/>
                      <w:szCs w:val="21"/>
                    </w:rPr>
                  </w:pPr>
                  <w:r>
                    <w:rPr>
                      <w:rFonts w:ascii="Times New Roman" w:hAnsi="Times New Roman" w:eastAsia="宋体"/>
                      <w:sz w:val="21"/>
                      <w:szCs w:val="21"/>
                    </w:rPr>
                    <w:t>浓度限值（mg/m</w:t>
                  </w:r>
                  <w:r>
                    <w:rPr>
                      <w:rFonts w:ascii="Times New Roman" w:hAnsi="Times New Roman" w:eastAsia="宋体"/>
                      <w:sz w:val="21"/>
                      <w:szCs w:val="21"/>
                      <w:vertAlign w:val="superscript"/>
                    </w:rPr>
                    <w:t>3</w:t>
                  </w:r>
                  <w:r>
                    <w:rPr>
                      <w:rFonts w:ascii="Times New Roman" w:hAnsi="Times New Roman" w:eastAsia="宋体"/>
                      <w:sz w:val="21"/>
                      <w:szCs w:val="21"/>
                    </w:rPr>
                    <w:t>）</w:t>
                  </w:r>
                </w:p>
              </w:tc>
              <w:tc>
                <w:tcPr>
                  <w:tcW w:w="2628" w:type="dxa"/>
                  <w:vAlign w:val="center"/>
                </w:tcPr>
                <w:p>
                  <w:pPr>
                    <w:pStyle w:val="72"/>
                    <w:rPr>
                      <w:rFonts w:ascii="Times New Roman" w:hAnsi="Times New Roman" w:eastAsia="宋体"/>
                      <w:sz w:val="21"/>
                      <w:szCs w:val="21"/>
                    </w:rPr>
                  </w:pPr>
                  <w:r>
                    <w:rPr>
                      <w:rFonts w:ascii="Times New Roman" w:hAnsi="Times New Roman" w:eastAsia="宋体"/>
                      <w:sz w:val="21"/>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278" w:type="dxa"/>
                  <w:vAlign w:val="center"/>
                </w:tcPr>
                <w:p>
                  <w:pPr>
                    <w:pStyle w:val="72"/>
                    <w:rPr>
                      <w:rFonts w:ascii="Times New Roman" w:hAnsi="Times New Roman" w:eastAsia="宋体"/>
                      <w:sz w:val="21"/>
                      <w:szCs w:val="21"/>
                    </w:rPr>
                  </w:pPr>
                  <w:r>
                    <w:rPr>
                      <w:rFonts w:ascii="Times New Roman" w:hAnsi="Times New Roman" w:eastAsia="宋体"/>
                      <w:sz w:val="21"/>
                      <w:szCs w:val="21"/>
                    </w:rPr>
                    <w:t>SO</w:t>
                  </w:r>
                  <w:r>
                    <w:rPr>
                      <w:rFonts w:ascii="Times New Roman" w:hAnsi="Times New Roman" w:eastAsia="宋体"/>
                      <w:sz w:val="21"/>
                      <w:szCs w:val="21"/>
                      <w:vertAlign w:val="subscript"/>
                    </w:rPr>
                    <w:t>2</w:t>
                  </w:r>
                </w:p>
              </w:tc>
              <w:tc>
                <w:tcPr>
                  <w:tcW w:w="2136" w:type="dxa"/>
                  <w:vMerge w:val="restart"/>
                  <w:vAlign w:val="center"/>
                </w:tcPr>
                <w:p>
                  <w:pPr>
                    <w:pStyle w:val="72"/>
                    <w:rPr>
                      <w:rFonts w:ascii="Times New Roman" w:hAnsi="Times New Roman" w:eastAsia="宋体"/>
                      <w:sz w:val="21"/>
                      <w:szCs w:val="21"/>
                    </w:rPr>
                  </w:pPr>
                  <w:r>
                    <w:rPr>
                      <w:rFonts w:ascii="Times New Roman" w:hAnsi="Times New Roman" w:eastAsia="宋体"/>
                      <w:sz w:val="21"/>
                      <w:szCs w:val="21"/>
                    </w:rPr>
                    <w:t>无组织排放监控浓度限值</w:t>
                  </w:r>
                </w:p>
              </w:tc>
              <w:tc>
                <w:tcPr>
                  <w:tcW w:w="1528" w:type="dxa"/>
                  <w:vAlign w:val="center"/>
                </w:tcPr>
                <w:p>
                  <w:pPr>
                    <w:pStyle w:val="72"/>
                    <w:rPr>
                      <w:rFonts w:ascii="Times New Roman" w:hAnsi="Times New Roman" w:eastAsia="宋体"/>
                      <w:sz w:val="21"/>
                      <w:szCs w:val="21"/>
                    </w:rPr>
                  </w:pPr>
                  <w:r>
                    <w:rPr>
                      <w:rFonts w:ascii="Times New Roman" w:hAnsi="Times New Roman" w:eastAsia="宋体"/>
                      <w:sz w:val="21"/>
                      <w:szCs w:val="21"/>
                    </w:rPr>
                    <w:t>0.40</w:t>
                  </w:r>
                </w:p>
              </w:tc>
              <w:tc>
                <w:tcPr>
                  <w:tcW w:w="2628" w:type="dxa"/>
                  <w:vMerge w:val="restart"/>
                  <w:vAlign w:val="center"/>
                </w:tcPr>
                <w:p>
                  <w:pPr>
                    <w:pStyle w:val="72"/>
                    <w:rPr>
                      <w:rFonts w:ascii="Times New Roman" w:hAnsi="Times New Roman" w:eastAsia="宋体"/>
                      <w:sz w:val="21"/>
                      <w:szCs w:val="21"/>
                    </w:rPr>
                  </w:pPr>
                  <w:r>
                    <w:rPr>
                      <w:rFonts w:ascii="Times New Roman" w:hAnsi="Times New Roman" w:eastAsia="宋体"/>
                      <w:sz w:val="21"/>
                      <w:szCs w:val="21"/>
                    </w:rPr>
                    <w:t>《大气污染物综合排放标准》</w:t>
                  </w:r>
                </w:p>
                <w:p>
                  <w:pPr>
                    <w:pStyle w:val="72"/>
                    <w:rPr>
                      <w:rFonts w:ascii="Times New Roman" w:hAnsi="Times New Roman" w:eastAsia="宋体"/>
                      <w:sz w:val="21"/>
                      <w:szCs w:val="21"/>
                    </w:rPr>
                  </w:pPr>
                  <w:r>
                    <w:rPr>
                      <w:rFonts w:ascii="Times New Roman" w:hAnsi="Times New Roman" w:eastAsia="宋体"/>
                      <w:sz w:val="21"/>
                      <w:szCs w:val="21"/>
                    </w:rPr>
                    <w:t>（GB 16297-1996）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278" w:type="dxa"/>
                  <w:vAlign w:val="center"/>
                </w:tcPr>
                <w:p>
                  <w:pPr>
                    <w:pStyle w:val="72"/>
                    <w:rPr>
                      <w:rFonts w:ascii="Times New Roman" w:hAnsi="Times New Roman" w:eastAsia="宋体"/>
                      <w:sz w:val="21"/>
                      <w:szCs w:val="21"/>
                    </w:rPr>
                  </w:pPr>
                  <w:r>
                    <w:rPr>
                      <w:rFonts w:ascii="Times New Roman" w:hAnsi="Times New Roman" w:eastAsia="宋体"/>
                      <w:sz w:val="21"/>
                      <w:szCs w:val="21"/>
                    </w:rPr>
                    <w:t>NO</w:t>
                  </w:r>
                  <w:r>
                    <w:rPr>
                      <w:rFonts w:ascii="Times New Roman" w:hAnsi="Times New Roman" w:eastAsia="宋体"/>
                      <w:sz w:val="21"/>
                      <w:szCs w:val="21"/>
                      <w:vertAlign w:val="subscript"/>
                    </w:rPr>
                    <w:t>x</w:t>
                  </w:r>
                </w:p>
              </w:tc>
              <w:tc>
                <w:tcPr>
                  <w:tcW w:w="2136" w:type="dxa"/>
                  <w:vMerge w:val="continue"/>
                  <w:vAlign w:val="center"/>
                </w:tcPr>
                <w:p>
                  <w:pPr>
                    <w:pStyle w:val="72"/>
                    <w:rPr>
                      <w:rFonts w:ascii="Times New Roman" w:hAnsi="Times New Roman" w:eastAsia="宋体"/>
                      <w:sz w:val="21"/>
                      <w:szCs w:val="21"/>
                    </w:rPr>
                  </w:pPr>
                </w:p>
              </w:tc>
              <w:tc>
                <w:tcPr>
                  <w:tcW w:w="1528" w:type="dxa"/>
                  <w:vAlign w:val="center"/>
                </w:tcPr>
                <w:p>
                  <w:pPr>
                    <w:pStyle w:val="72"/>
                    <w:rPr>
                      <w:rFonts w:ascii="Times New Roman" w:hAnsi="Times New Roman" w:eastAsia="宋体"/>
                      <w:sz w:val="21"/>
                      <w:szCs w:val="21"/>
                    </w:rPr>
                  </w:pPr>
                  <w:r>
                    <w:rPr>
                      <w:rFonts w:ascii="Times New Roman" w:hAnsi="Times New Roman" w:eastAsia="宋体"/>
                      <w:sz w:val="21"/>
                      <w:szCs w:val="21"/>
                    </w:rPr>
                    <w:t>0.12</w:t>
                  </w:r>
                </w:p>
              </w:tc>
              <w:tc>
                <w:tcPr>
                  <w:tcW w:w="2628" w:type="dxa"/>
                  <w:vMerge w:val="continue"/>
                  <w:vAlign w:val="center"/>
                </w:tcPr>
                <w:p>
                  <w:pPr>
                    <w:pStyle w:val="72"/>
                    <w:rPr>
                      <w:rFonts w:ascii="Times New Roman" w:hAns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trPr>
              <w:tc>
                <w:tcPr>
                  <w:tcW w:w="1278" w:type="dxa"/>
                  <w:vAlign w:val="center"/>
                </w:tcPr>
                <w:p>
                  <w:pPr>
                    <w:pStyle w:val="72"/>
                    <w:rPr>
                      <w:rFonts w:ascii="Times New Roman" w:hAnsi="Times New Roman" w:eastAsia="宋体"/>
                      <w:sz w:val="21"/>
                      <w:szCs w:val="21"/>
                    </w:rPr>
                  </w:pPr>
                  <w:r>
                    <w:rPr>
                      <w:rFonts w:ascii="Times New Roman" w:hAnsi="Times New Roman" w:eastAsia="宋体"/>
                      <w:sz w:val="21"/>
                      <w:szCs w:val="21"/>
                    </w:rPr>
                    <w:t>非甲烷总烃</w:t>
                  </w:r>
                </w:p>
              </w:tc>
              <w:tc>
                <w:tcPr>
                  <w:tcW w:w="2136" w:type="dxa"/>
                  <w:vMerge w:val="continue"/>
                  <w:vAlign w:val="center"/>
                </w:tcPr>
                <w:p>
                  <w:pPr>
                    <w:pStyle w:val="72"/>
                    <w:rPr>
                      <w:rFonts w:ascii="Times New Roman" w:hAnsi="Times New Roman" w:eastAsia="宋体"/>
                      <w:sz w:val="21"/>
                      <w:szCs w:val="21"/>
                    </w:rPr>
                  </w:pPr>
                </w:p>
              </w:tc>
              <w:tc>
                <w:tcPr>
                  <w:tcW w:w="1528" w:type="dxa"/>
                  <w:vAlign w:val="center"/>
                </w:tcPr>
                <w:p>
                  <w:pPr>
                    <w:pStyle w:val="72"/>
                    <w:rPr>
                      <w:rFonts w:ascii="Times New Roman" w:hAnsi="Times New Roman" w:eastAsia="宋体"/>
                      <w:sz w:val="21"/>
                      <w:szCs w:val="21"/>
                    </w:rPr>
                  </w:pPr>
                  <w:r>
                    <w:rPr>
                      <w:rFonts w:ascii="Times New Roman" w:hAnsi="Times New Roman" w:eastAsia="宋体"/>
                      <w:sz w:val="21"/>
                      <w:szCs w:val="21"/>
                    </w:rPr>
                    <w:t>4.0</w:t>
                  </w:r>
                </w:p>
              </w:tc>
              <w:tc>
                <w:tcPr>
                  <w:tcW w:w="2628" w:type="dxa"/>
                  <w:vMerge w:val="continue"/>
                  <w:vAlign w:val="center"/>
                </w:tcPr>
                <w:p>
                  <w:pPr>
                    <w:pStyle w:val="72"/>
                    <w:rPr>
                      <w:rFonts w:ascii="Times New Roman" w:hAnsi="Times New Roman"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1278" w:type="dxa"/>
                  <w:vAlign w:val="center"/>
                </w:tcPr>
                <w:p>
                  <w:pPr>
                    <w:pStyle w:val="72"/>
                    <w:rPr>
                      <w:rFonts w:ascii="Times New Roman" w:hAnsi="Times New Roman" w:eastAsia="宋体"/>
                      <w:sz w:val="21"/>
                      <w:szCs w:val="21"/>
                    </w:rPr>
                  </w:pPr>
                  <w:r>
                    <w:rPr>
                      <w:rFonts w:ascii="Times New Roman" w:hAnsi="Times New Roman" w:eastAsia="宋体"/>
                      <w:sz w:val="21"/>
                      <w:szCs w:val="21"/>
                    </w:rPr>
                    <w:t>CO</w:t>
                  </w:r>
                </w:p>
              </w:tc>
              <w:tc>
                <w:tcPr>
                  <w:tcW w:w="2136" w:type="dxa"/>
                  <w:vAlign w:val="center"/>
                </w:tcPr>
                <w:p>
                  <w:pPr>
                    <w:adjustRightInd w:val="0"/>
                    <w:snapToGrid w:val="0"/>
                    <w:jc w:val="center"/>
                    <w:rPr>
                      <w:bCs/>
                      <w:kern w:val="0"/>
                      <w:szCs w:val="21"/>
                    </w:rPr>
                  </w:pPr>
                  <w:r>
                    <w:rPr>
                      <w:bCs/>
                      <w:kern w:val="0"/>
                      <w:szCs w:val="21"/>
                    </w:rPr>
                    <w:t>短时间接触容许浓度</w:t>
                  </w:r>
                </w:p>
              </w:tc>
              <w:tc>
                <w:tcPr>
                  <w:tcW w:w="1528" w:type="dxa"/>
                  <w:vAlign w:val="center"/>
                </w:tcPr>
                <w:p>
                  <w:pPr>
                    <w:adjustRightInd w:val="0"/>
                    <w:snapToGrid w:val="0"/>
                    <w:jc w:val="center"/>
                    <w:rPr>
                      <w:bCs/>
                      <w:kern w:val="0"/>
                      <w:szCs w:val="21"/>
                    </w:rPr>
                  </w:pPr>
                  <w:r>
                    <w:rPr>
                      <w:bCs/>
                      <w:kern w:val="0"/>
                      <w:szCs w:val="21"/>
                    </w:rPr>
                    <w:t>30</w:t>
                  </w:r>
                </w:p>
              </w:tc>
              <w:tc>
                <w:tcPr>
                  <w:tcW w:w="2628" w:type="dxa"/>
                  <w:vAlign w:val="center"/>
                </w:tcPr>
                <w:p>
                  <w:pPr>
                    <w:adjustRightInd w:val="0"/>
                    <w:snapToGrid w:val="0"/>
                    <w:jc w:val="center"/>
                    <w:rPr>
                      <w:bCs/>
                      <w:kern w:val="0"/>
                      <w:szCs w:val="21"/>
                    </w:rPr>
                  </w:pPr>
                  <w:r>
                    <w:rPr>
                      <w:szCs w:val="21"/>
                    </w:rPr>
                    <w:t>工作场所有害因素职业接触限值(GBZ 2.1-2007)</w:t>
                  </w:r>
                </w:p>
              </w:tc>
            </w:tr>
          </w:tbl>
          <w:p>
            <w:pPr>
              <w:spacing w:line="360" w:lineRule="auto"/>
              <w:rPr>
                <w:b/>
                <w:color w:val="000000"/>
                <w:sz w:val="24"/>
              </w:rPr>
            </w:pPr>
            <w:r>
              <w:rPr>
                <w:b/>
                <w:color w:val="000000"/>
                <w:sz w:val="24"/>
              </w:rPr>
              <w:t>二、水污染物排放标准</w:t>
            </w:r>
          </w:p>
          <w:p>
            <w:pPr>
              <w:snapToGrid w:val="0"/>
              <w:spacing w:line="360" w:lineRule="auto"/>
              <w:ind w:firstLine="480" w:firstLineChars="200"/>
              <w:rPr>
                <w:b/>
                <w:sz w:val="24"/>
              </w:rPr>
            </w:pPr>
            <w:r>
              <w:rPr>
                <w:sz w:val="24"/>
              </w:rPr>
              <w:t>拟建项目废水接管城南污水处理厂集中处理，接管标准执行</w:t>
            </w:r>
            <w:r>
              <w:rPr>
                <w:rFonts w:hint="eastAsia"/>
                <w:sz w:val="24"/>
              </w:rPr>
              <w:t>《污水排入城市下水道水质标准》（CJ 343-2010）中B等级标准及《污水排入城市下水道水质标准》(CJ343-2010)，</w:t>
            </w:r>
            <w:r>
              <w:rPr>
                <w:sz w:val="24"/>
              </w:rPr>
              <w:t>城南污水处理厂尾水排放执行《城镇污水处理厂污染物排放标准》（GB18918-2002）表1一级A标准。城南污水处理厂接管标准和尾水排放具体标准值见表5-5。</w:t>
            </w:r>
          </w:p>
          <w:p>
            <w:pPr>
              <w:adjustRightInd w:val="0"/>
              <w:snapToGrid w:val="0"/>
              <w:jc w:val="center"/>
              <w:rPr>
                <w:b/>
              </w:rPr>
            </w:pPr>
            <w:r>
              <w:rPr>
                <w:b/>
              </w:rPr>
              <w:t xml:space="preserve">表5-5  污水处理厂污染物控制指标 </w:t>
            </w:r>
          </w:p>
          <w:tbl>
            <w:tblPr>
              <w:tblStyle w:val="33"/>
              <w:tblW w:w="7574" w:type="dxa"/>
              <w:jc w:val="center"/>
              <w:tblInd w:w="-1"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719"/>
              <w:gridCol w:w="1725"/>
              <w:gridCol w:w="1146"/>
              <w:gridCol w:w="2031"/>
              <w:gridCol w:w="1953"/>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top w:val="single" w:color="auto" w:sz="2" w:space="0"/>
                    <w:left w:val="single" w:color="auto" w:sz="0" w:space="0"/>
                  </w:tcBorders>
                  <w:vAlign w:val="center"/>
                </w:tcPr>
                <w:p>
                  <w:pPr>
                    <w:jc w:val="center"/>
                  </w:pPr>
                  <w:r>
                    <w:t>序号</w:t>
                  </w:r>
                </w:p>
              </w:tc>
              <w:tc>
                <w:tcPr>
                  <w:tcW w:w="1725" w:type="dxa"/>
                  <w:tcBorders>
                    <w:top w:val="single" w:color="auto" w:sz="2" w:space="0"/>
                  </w:tcBorders>
                  <w:vAlign w:val="center"/>
                </w:tcPr>
                <w:p>
                  <w:pPr>
                    <w:jc w:val="center"/>
                  </w:pPr>
                  <w:r>
                    <w:t>项</w:t>
                  </w:r>
                  <w:r>
                    <w:rPr>
                      <w:rFonts w:hint="eastAsia"/>
                    </w:rPr>
                    <w:t>目</w:t>
                  </w:r>
                </w:p>
              </w:tc>
              <w:tc>
                <w:tcPr>
                  <w:tcW w:w="1146" w:type="dxa"/>
                  <w:tcBorders>
                    <w:top w:val="single" w:color="auto" w:sz="2" w:space="0"/>
                  </w:tcBorders>
                  <w:vAlign w:val="center"/>
                </w:tcPr>
                <w:p>
                  <w:pPr>
                    <w:jc w:val="center"/>
                  </w:pPr>
                  <w:r>
                    <w:t>单位</w:t>
                  </w:r>
                </w:p>
              </w:tc>
              <w:tc>
                <w:tcPr>
                  <w:tcW w:w="2031" w:type="dxa"/>
                  <w:tcBorders>
                    <w:top w:val="single" w:color="auto" w:sz="2" w:space="0"/>
                  </w:tcBorders>
                  <w:vAlign w:val="center"/>
                </w:tcPr>
                <w:p>
                  <w:pPr>
                    <w:jc w:val="center"/>
                  </w:pPr>
                  <w:r>
                    <w:t>污水处理厂</w:t>
                  </w:r>
                </w:p>
                <w:p>
                  <w:pPr>
                    <w:jc w:val="center"/>
                  </w:pPr>
                  <w:r>
                    <w:t>接管标准</w:t>
                  </w:r>
                </w:p>
              </w:tc>
              <w:tc>
                <w:tcPr>
                  <w:tcW w:w="1953" w:type="dxa"/>
                  <w:tcBorders>
                    <w:top w:val="single" w:color="auto" w:sz="2" w:space="0"/>
                    <w:right w:val="single" w:color="auto" w:sz="2" w:space="0"/>
                  </w:tcBorders>
                  <w:vAlign w:val="center"/>
                </w:tcPr>
                <w:p>
                  <w:pPr>
                    <w:jc w:val="center"/>
                  </w:pPr>
                  <w:r>
                    <w:t>污水处理厂</w:t>
                  </w:r>
                </w:p>
                <w:p>
                  <w:pPr>
                    <w:jc w:val="center"/>
                  </w:pPr>
                  <w:r>
                    <w:t>排放标准</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tcBorders>
                  <w:vAlign w:val="center"/>
                </w:tcPr>
                <w:p>
                  <w:pPr>
                    <w:jc w:val="center"/>
                  </w:pPr>
                  <w:r>
                    <w:t>1</w:t>
                  </w:r>
                </w:p>
              </w:tc>
              <w:tc>
                <w:tcPr>
                  <w:tcW w:w="1725" w:type="dxa"/>
                  <w:vAlign w:val="center"/>
                </w:tcPr>
                <w:p>
                  <w:pPr>
                    <w:jc w:val="center"/>
                  </w:pPr>
                  <w:r>
                    <w:t>pH</w:t>
                  </w:r>
                </w:p>
              </w:tc>
              <w:tc>
                <w:tcPr>
                  <w:tcW w:w="1146" w:type="dxa"/>
                  <w:vAlign w:val="center"/>
                </w:tcPr>
                <w:p>
                  <w:pPr>
                    <w:jc w:val="center"/>
                  </w:pPr>
                  <w:r>
                    <w:t>无量纲</w:t>
                  </w:r>
                </w:p>
              </w:tc>
              <w:tc>
                <w:tcPr>
                  <w:tcW w:w="2031" w:type="dxa"/>
                  <w:vAlign w:val="center"/>
                </w:tcPr>
                <w:p>
                  <w:pPr>
                    <w:jc w:val="center"/>
                  </w:pPr>
                  <w:r>
                    <w:t>6~9</w:t>
                  </w:r>
                </w:p>
              </w:tc>
              <w:tc>
                <w:tcPr>
                  <w:tcW w:w="1953" w:type="dxa"/>
                  <w:tcBorders>
                    <w:right w:val="single" w:color="auto" w:sz="2" w:space="0"/>
                  </w:tcBorders>
                  <w:vAlign w:val="center"/>
                </w:tcPr>
                <w:p>
                  <w:pPr>
                    <w:jc w:val="center"/>
                  </w:pPr>
                  <w:r>
                    <w:t>6-</w:t>
                  </w:r>
                  <w:r>
                    <w:rPr>
                      <w:rFonts w:hint="eastAsia"/>
                    </w:rPr>
                    <w:t>9</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tcBorders>
                  <w:vAlign w:val="center"/>
                </w:tcPr>
                <w:p>
                  <w:pPr>
                    <w:jc w:val="center"/>
                  </w:pPr>
                  <w:r>
                    <w:rPr>
                      <w:rFonts w:hint="eastAsia"/>
                    </w:rPr>
                    <w:t>2</w:t>
                  </w:r>
                </w:p>
              </w:tc>
              <w:tc>
                <w:tcPr>
                  <w:tcW w:w="1725" w:type="dxa"/>
                  <w:vAlign w:val="center"/>
                </w:tcPr>
                <w:p>
                  <w:pPr>
                    <w:jc w:val="center"/>
                  </w:pPr>
                  <w:r>
                    <w:t>COD</w:t>
                  </w:r>
                </w:p>
              </w:tc>
              <w:tc>
                <w:tcPr>
                  <w:tcW w:w="1146" w:type="dxa"/>
                  <w:vAlign w:val="center"/>
                </w:tcPr>
                <w:p>
                  <w:pPr>
                    <w:jc w:val="center"/>
                  </w:pPr>
                  <w:r>
                    <w:t>mg/L</w:t>
                  </w:r>
                </w:p>
              </w:tc>
              <w:tc>
                <w:tcPr>
                  <w:tcW w:w="2031" w:type="dxa"/>
                  <w:vAlign w:val="center"/>
                </w:tcPr>
                <w:p>
                  <w:pPr>
                    <w:jc w:val="center"/>
                  </w:pPr>
                  <w:r>
                    <w:t>500</w:t>
                  </w:r>
                </w:p>
              </w:tc>
              <w:tc>
                <w:tcPr>
                  <w:tcW w:w="1953" w:type="dxa"/>
                  <w:tcBorders>
                    <w:right w:val="single" w:color="auto" w:sz="2" w:space="0"/>
                  </w:tcBorders>
                  <w:vAlign w:val="center"/>
                </w:tcPr>
                <w:p>
                  <w:pPr>
                    <w:jc w:val="center"/>
                  </w:pPr>
                  <w:r>
                    <w:t>50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tcBorders>
                  <w:vAlign w:val="center"/>
                </w:tcPr>
                <w:p>
                  <w:pPr>
                    <w:jc w:val="center"/>
                  </w:pPr>
                  <w:r>
                    <w:t>3</w:t>
                  </w:r>
                </w:p>
              </w:tc>
              <w:tc>
                <w:tcPr>
                  <w:tcW w:w="1725" w:type="dxa"/>
                  <w:vAlign w:val="center"/>
                </w:tcPr>
                <w:p>
                  <w:pPr>
                    <w:jc w:val="center"/>
                  </w:pPr>
                  <w:r>
                    <w:t>SS</w:t>
                  </w:r>
                </w:p>
              </w:tc>
              <w:tc>
                <w:tcPr>
                  <w:tcW w:w="1146" w:type="dxa"/>
                  <w:vAlign w:val="center"/>
                </w:tcPr>
                <w:p>
                  <w:pPr>
                    <w:jc w:val="center"/>
                  </w:pPr>
                  <w:r>
                    <w:t>mg/L</w:t>
                  </w:r>
                </w:p>
              </w:tc>
              <w:tc>
                <w:tcPr>
                  <w:tcW w:w="2031" w:type="dxa"/>
                  <w:vAlign w:val="center"/>
                </w:tcPr>
                <w:p>
                  <w:pPr>
                    <w:jc w:val="center"/>
                  </w:pPr>
                  <w:r>
                    <w:t>400</w:t>
                  </w:r>
                </w:p>
              </w:tc>
              <w:tc>
                <w:tcPr>
                  <w:tcW w:w="1953" w:type="dxa"/>
                  <w:tcBorders>
                    <w:right w:val="single" w:color="auto" w:sz="2" w:space="0"/>
                  </w:tcBorders>
                  <w:vAlign w:val="center"/>
                </w:tcPr>
                <w:p>
                  <w:pPr>
                    <w:jc w:val="center"/>
                  </w:pPr>
                  <w:r>
                    <w:t>10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tcBorders>
                  <w:vAlign w:val="center"/>
                </w:tcPr>
                <w:p>
                  <w:pPr>
                    <w:jc w:val="center"/>
                  </w:pPr>
                  <w:r>
                    <w:t>4</w:t>
                  </w:r>
                </w:p>
              </w:tc>
              <w:tc>
                <w:tcPr>
                  <w:tcW w:w="1725" w:type="dxa"/>
                  <w:vAlign w:val="center"/>
                </w:tcPr>
                <w:p>
                  <w:pPr>
                    <w:jc w:val="center"/>
                  </w:pPr>
                  <w:r>
                    <w:t>NH</w:t>
                  </w:r>
                  <w:r>
                    <w:rPr>
                      <w:vertAlign w:val="subscript"/>
                    </w:rPr>
                    <w:t>3</w:t>
                  </w:r>
                  <w:r>
                    <w:t>－N</w:t>
                  </w:r>
                </w:p>
              </w:tc>
              <w:tc>
                <w:tcPr>
                  <w:tcW w:w="1146" w:type="dxa"/>
                  <w:vAlign w:val="center"/>
                </w:tcPr>
                <w:p>
                  <w:pPr>
                    <w:jc w:val="center"/>
                  </w:pPr>
                  <w:r>
                    <w:t>mg/L</w:t>
                  </w:r>
                </w:p>
              </w:tc>
              <w:tc>
                <w:tcPr>
                  <w:tcW w:w="2031" w:type="dxa"/>
                  <w:vAlign w:val="center"/>
                </w:tcPr>
                <w:p>
                  <w:pPr>
                    <w:jc w:val="center"/>
                  </w:pPr>
                  <w:r>
                    <w:t>45</w:t>
                  </w:r>
                </w:p>
              </w:tc>
              <w:tc>
                <w:tcPr>
                  <w:tcW w:w="1953" w:type="dxa"/>
                  <w:tcBorders>
                    <w:right w:val="single" w:color="auto" w:sz="2" w:space="0"/>
                  </w:tcBorders>
                  <w:vAlign w:val="center"/>
                </w:tcPr>
                <w:p>
                  <w:pPr>
                    <w:jc w:val="center"/>
                  </w:pPr>
                  <w:r>
                    <w:t>（以N计）5</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tcBorders>
                  <w:vAlign w:val="center"/>
                </w:tcPr>
                <w:p>
                  <w:pPr>
                    <w:jc w:val="center"/>
                  </w:pPr>
                  <w:r>
                    <w:t>5</w:t>
                  </w:r>
                </w:p>
              </w:tc>
              <w:tc>
                <w:tcPr>
                  <w:tcW w:w="1725" w:type="dxa"/>
                  <w:vAlign w:val="center"/>
                </w:tcPr>
                <w:p>
                  <w:pPr>
                    <w:jc w:val="center"/>
                  </w:pPr>
                  <w:r>
                    <w:t>总磷</w:t>
                  </w:r>
                </w:p>
              </w:tc>
              <w:tc>
                <w:tcPr>
                  <w:tcW w:w="1146" w:type="dxa"/>
                  <w:vAlign w:val="center"/>
                </w:tcPr>
                <w:p>
                  <w:pPr>
                    <w:jc w:val="center"/>
                  </w:pPr>
                  <w:r>
                    <w:t>mg/L</w:t>
                  </w:r>
                </w:p>
              </w:tc>
              <w:tc>
                <w:tcPr>
                  <w:tcW w:w="2031" w:type="dxa"/>
                  <w:vAlign w:val="center"/>
                </w:tcPr>
                <w:p>
                  <w:pPr>
                    <w:jc w:val="center"/>
                  </w:pPr>
                  <w:r>
                    <w:t>8.0</w:t>
                  </w:r>
                </w:p>
              </w:tc>
              <w:tc>
                <w:tcPr>
                  <w:tcW w:w="1953" w:type="dxa"/>
                  <w:tcBorders>
                    <w:right w:val="single" w:color="auto" w:sz="2" w:space="0"/>
                  </w:tcBorders>
                  <w:vAlign w:val="center"/>
                </w:tcPr>
                <w:p>
                  <w:pPr>
                    <w:jc w:val="center"/>
                  </w:pPr>
                  <w:r>
                    <w:t>（以P计）0.5</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40" w:hRule="atLeast"/>
                <w:jc w:val="center"/>
              </w:trPr>
              <w:tc>
                <w:tcPr>
                  <w:tcW w:w="719" w:type="dxa"/>
                  <w:tcBorders>
                    <w:left w:val="single" w:color="auto" w:sz="4" w:space="0"/>
                    <w:bottom w:val="single" w:color="auto" w:sz="2" w:space="0"/>
                  </w:tcBorders>
                  <w:vAlign w:val="center"/>
                </w:tcPr>
                <w:p>
                  <w:pPr>
                    <w:jc w:val="center"/>
                  </w:pPr>
                  <w:r>
                    <w:t>6</w:t>
                  </w:r>
                </w:p>
              </w:tc>
              <w:tc>
                <w:tcPr>
                  <w:tcW w:w="1725" w:type="dxa"/>
                  <w:tcBorders>
                    <w:bottom w:val="single" w:color="auto" w:sz="2" w:space="0"/>
                  </w:tcBorders>
                  <w:vAlign w:val="center"/>
                </w:tcPr>
                <w:p>
                  <w:pPr>
                    <w:jc w:val="center"/>
                  </w:pPr>
                  <w:r>
                    <w:t>石油类</w:t>
                  </w:r>
                </w:p>
              </w:tc>
              <w:tc>
                <w:tcPr>
                  <w:tcW w:w="1146" w:type="dxa"/>
                  <w:tcBorders>
                    <w:bottom w:val="single" w:color="auto" w:sz="2" w:space="0"/>
                  </w:tcBorders>
                  <w:vAlign w:val="center"/>
                </w:tcPr>
                <w:p>
                  <w:pPr>
                    <w:jc w:val="center"/>
                  </w:pPr>
                  <w:r>
                    <w:t>mg/L</w:t>
                  </w:r>
                </w:p>
              </w:tc>
              <w:tc>
                <w:tcPr>
                  <w:tcW w:w="2031" w:type="dxa"/>
                  <w:tcBorders>
                    <w:bottom w:val="single" w:color="auto" w:sz="2" w:space="0"/>
                  </w:tcBorders>
                  <w:vAlign w:val="center"/>
                </w:tcPr>
                <w:p>
                  <w:pPr>
                    <w:jc w:val="center"/>
                  </w:pPr>
                  <w:r>
                    <w:t>20</w:t>
                  </w:r>
                </w:p>
              </w:tc>
              <w:tc>
                <w:tcPr>
                  <w:tcW w:w="1953" w:type="dxa"/>
                  <w:tcBorders>
                    <w:bottom w:val="single" w:color="auto" w:sz="2" w:space="0"/>
                    <w:right w:val="single" w:color="auto" w:sz="2" w:space="0"/>
                  </w:tcBorders>
                  <w:vAlign w:val="center"/>
                </w:tcPr>
                <w:p>
                  <w:pPr>
                    <w:jc w:val="center"/>
                  </w:pPr>
                  <w:r>
                    <w:t>1</w:t>
                  </w:r>
                </w:p>
              </w:tc>
            </w:tr>
          </w:tbl>
          <w:p>
            <w:pPr>
              <w:spacing w:line="360" w:lineRule="auto"/>
              <w:rPr>
                <w:b/>
                <w:color w:val="000000"/>
                <w:sz w:val="24"/>
              </w:rPr>
            </w:pPr>
            <w:r>
              <w:rPr>
                <w:b/>
                <w:color w:val="000000"/>
                <w:sz w:val="24"/>
              </w:rPr>
              <w:t>三、噪声污染物排放标准</w:t>
            </w:r>
          </w:p>
          <w:p>
            <w:pPr>
              <w:spacing w:line="360" w:lineRule="auto"/>
              <w:ind w:firstLine="480"/>
              <w:rPr>
                <w:color w:val="000000"/>
                <w:sz w:val="24"/>
              </w:rPr>
            </w:pPr>
            <w:r>
              <w:rPr>
                <w:color w:val="000000"/>
                <w:sz w:val="24"/>
              </w:rPr>
              <w:t>项目运营期厂界执行《工业企业厂界环境噪声排放标准》（GB12348-2008）3类</w:t>
            </w:r>
            <w:r>
              <w:rPr>
                <w:rFonts w:hint="eastAsia"/>
                <w:color w:val="000000"/>
                <w:sz w:val="24"/>
              </w:rPr>
              <w:t>、4类</w:t>
            </w:r>
            <w:r>
              <w:rPr>
                <w:color w:val="000000"/>
                <w:sz w:val="24"/>
              </w:rPr>
              <w:t>标准；施工期噪声执行《建筑施工场界环境噪声排放标准》（GB12523-2011）。具体标准值见表5-6。</w:t>
            </w:r>
          </w:p>
          <w:p>
            <w:pPr>
              <w:adjustRightInd w:val="0"/>
              <w:snapToGrid w:val="0"/>
              <w:jc w:val="center"/>
              <w:rPr>
                <w:b/>
              </w:rPr>
            </w:pPr>
            <w:r>
              <w:rPr>
                <w:b/>
              </w:rPr>
              <w:t>表5-6工业企业厂界环境噪声排放标准</w:t>
            </w:r>
          </w:p>
          <w:tbl>
            <w:tblPr>
              <w:tblStyle w:val="33"/>
              <w:tblW w:w="7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1273"/>
              <w:gridCol w:w="2135"/>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 w:hRule="atLeast"/>
                <w:jc w:val="center"/>
              </w:trPr>
              <w:tc>
                <w:tcPr>
                  <w:tcW w:w="2029" w:type="dxa"/>
                  <w:vMerge w:val="restart"/>
                  <w:vAlign w:val="center"/>
                </w:tcPr>
                <w:p>
                  <w:pPr>
                    <w:spacing w:line="320" w:lineRule="exact"/>
                    <w:jc w:val="center"/>
                    <w:outlineLvl w:val="0"/>
                    <w:rPr>
                      <w:color w:val="000000"/>
                      <w:szCs w:val="21"/>
                    </w:rPr>
                  </w:pPr>
                  <w:r>
                    <w:rPr>
                      <w:color w:val="000000"/>
                      <w:szCs w:val="21"/>
                    </w:rPr>
                    <w:t>项目位置</w:t>
                  </w:r>
                </w:p>
              </w:tc>
              <w:tc>
                <w:tcPr>
                  <w:tcW w:w="1273" w:type="dxa"/>
                  <w:vMerge w:val="restart"/>
                  <w:vAlign w:val="center"/>
                </w:tcPr>
                <w:p>
                  <w:pPr>
                    <w:spacing w:line="320" w:lineRule="exact"/>
                    <w:jc w:val="center"/>
                    <w:outlineLvl w:val="0"/>
                    <w:rPr>
                      <w:color w:val="000000"/>
                      <w:szCs w:val="21"/>
                    </w:rPr>
                  </w:pPr>
                  <w:r>
                    <w:rPr>
                      <w:color w:val="000000"/>
                      <w:szCs w:val="21"/>
                    </w:rPr>
                    <w:t>级别</w:t>
                  </w:r>
                </w:p>
              </w:tc>
              <w:tc>
                <w:tcPr>
                  <w:tcW w:w="4268" w:type="dxa"/>
                  <w:gridSpan w:val="2"/>
                  <w:vAlign w:val="center"/>
                </w:tcPr>
                <w:p>
                  <w:pPr>
                    <w:spacing w:line="320" w:lineRule="exact"/>
                    <w:jc w:val="center"/>
                    <w:outlineLvl w:val="0"/>
                    <w:rPr>
                      <w:color w:val="000000"/>
                      <w:szCs w:val="21"/>
                    </w:rPr>
                  </w:pPr>
                  <w:r>
                    <w:rPr>
                      <w:bCs/>
                      <w:color w:val="000000"/>
                      <w:kern w:val="0"/>
                      <w:szCs w:val="21"/>
                    </w:rPr>
                    <w:t xml:space="preserve">标准限值[dB（A）]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2029" w:type="dxa"/>
                  <w:vMerge w:val="continue"/>
                  <w:vAlign w:val="center"/>
                </w:tcPr>
                <w:p>
                  <w:pPr>
                    <w:spacing w:line="320" w:lineRule="exact"/>
                    <w:jc w:val="center"/>
                    <w:outlineLvl w:val="0"/>
                    <w:rPr>
                      <w:color w:val="000000"/>
                      <w:szCs w:val="21"/>
                    </w:rPr>
                  </w:pPr>
                </w:p>
              </w:tc>
              <w:tc>
                <w:tcPr>
                  <w:tcW w:w="1273" w:type="dxa"/>
                  <w:vMerge w:val="continue"/>
                  <w:vAlign w:val="center"/>
                </w:tcPr>
                <w:p>
                  <w:pPr>
                    <w:spacing w:line="320" w:lineRule="exact"/>
                    <w:jc w:val="center"/>
                    <w:outlineLvl w:val="0"/>
                    <w:rPr>
                      <w:color w:val="000000"/>
                      <w:szCs w:val="21"/>
                    </w:rPr>
                  </w:pPr>
                </w:p>
              </w:tc>
              <w:tc>
                <w:tcPr>
                  <w:tcW w:w="2135" w:type="dxa"/>
                  <w:vAlign w:val="center"/>
                </w:tcPr>
                <w:p>
                  <w:pPr>
                    <w:widowControl/>
                    <w:spacing w:line="320" w:lineRule="exact"/>
                    <w:jc w:val="center"/>
                    <w:rPr>
                      <w:bCs/>
                      <w:color w:val="000000"/>
                      <w:kern w:val="0"/>
                      <w:szCs w:val="21"/>
                    </w:rPr>
                  </w:pPr>
                  <w:r>
                    <w:rPr>
                      <w:bCs/>
                      <w:color w:val="000000"/>
                      <w:kern w:val="0"/>
                      <w:szCs w:val="21"/>
                    </w:rPr>
                    <w:t>昼</w:t>
                  </w:r>
                </w:p>
              </w:tc>
              <w:tc>
                <w:tcPr>
                  <w:tcW w:w="2133" w:type="dxa"/>
                  <w:vAlign w:val="center"/>
                </w:tcPr>
                <w:p>
                  <w:pPr>
                    <w:widowControl/>
                    <w:spacing w:line="320" w:lineRule="exact"/>
                    <w:jc w:val="center"/>
                    <w:rPr>
                      <w:bCs/>
                      <w:color w:val="000000"/>
                      <w:kern w:val="0"/>
                      <w:szCs w:val="21"/>
                    </w:rPr>
                  </w:pPr>
                  <w:r>
                    <w:rPr>
                      <w:bCs/>
                      <w:color w:val="000000"/>
                      <w:kern w:val="0"/>
                      <w:szCs w:val="21"/>
                    </w:rPr>
                    <w:t>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2029" w:type="dxa"/>
                  <w:vMerge w:val="restart"/>
                  <w:vAlign w:val="center"/>
                </w:tcPr>
                <w:p>
                  <w:pPr>
                    <w:spacing w:line="320" w:lineRule="exact"/>
                    <w:jc w:val="center"/>
                    <w:outlineLvl w:val="0"/>
                    <w:rPr>
                      <w:color w:val="000000"/>
                      <w:szCs w:val="21"/>
                    </w:rPr>
                  </w:pPr>
                  <w:r>
                    <w:rPr>
                      <w:color w:val="000000"/>
                      <w:szCs w:val="21"/>
                    </w:rPr>
                    <w:t>厂界</w:t>
                  </w:r>
                </w:p>
              </w:tc>
              <w:tc>
                <w:tcPr>
                  <w:tcW w:w="1273" w:type="dxa"/>
                  <w:vAlign w:val="center"/>
                </w:tcPr>
                <w:p>
                  <w:pPr>
                    <w:spacing w:line="320" w:lineRule="exact"/>
                    <w:jc w:val="center"/>
                    <w:outlineLvl w:val="0"/>
                    <w:rPr>
                      <w:color w:val="000000"/>
                      <w:szCs w:val="21"/>
                    </w:rPr>
                  </w:pPr>
                  <w:r>
                    <w:rPr>
                      <w:color w:val="000000"/>
                      <w:szCs w:val="21"/>
                    </w:rPr>
                    <w:t>3类</w:t>
                  </w:r>
                </w:p>
              </w:tc>
              <w:tc>
                <w:tcPr>
                  <w:tcW w:w="2135" w:type="dxa"/>
                  <w:vAlign w:val="center"/>
                </w:tcPr>
                <w:p>
                  <w:pPr>
                    <w:spacing w:line="320" w:lineRule="exact"/>
                    <w:jc w:val="center"/>
                    <w:outlineLvl w:val="0"/>
                    <w:rPr>
                      <w:color w:val="000000"/>
                      <w:szCs w:val="21"/>
                    </w:rPr>
                  </w:pPr>
                  <w:r>
                    <w:rPr>
                      <w:color w:val="000000"/>
                      <w:szCs w:val="21"/>
                    </w:rPr>
                    <w:t>65</w:t>
                  </w:r>
                </w:p>
              </w:tc>
              <w:tc>
                <w:tcPr>
                  <w:tcW w:w="2133" w:type="dxa"/>
                  <w:vAlign w:val="center"/>
                </w:tcPr>
                <w:p>
                  <w:pPr>
                    <w:spacing w:line="320" w:lineRule="exact"/>
                    <w:jc w:val="center"/>
                    <w:outlineLvl w:val="0"/>
                    <w:rPr>
                      <w:color w:val="000000"/>
                      <w:szCs w:val="21"/>
                    </w:rPr>
                  </w:pPr>
                  <w:r>
                    <w:rPr>
                      <w:color w:val="00000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atLeast"/>
                <w:jc w:val="center"/>
              </w:trPr>
              <w:tc>
                <w:tcPr>
                  <w:tcW w:w="2029" w:type="dxa"/>
                  <w:vMerge w:val="continue"/>
                  <w:vAlign w:val="center"/>
                </w:tcPr>
                <w:p>
                  <w:pPr>
                    <w:spacing w:line="320" w:lineRule="exact"/>
                    <w:jc w:val="center"/>
                    <w:outlineLvl w:val="0"/>
                    <w:rPr>
                      <w:color w:val="000000"/>
                      <w:szCs w:val="21"/>
                    </w:rPr>
                  </w:pPr>
                </w:p>
              </w:tc>
              <w:tc>
                <w:tcPr>
                  <w:tcW w:w="1273" w:type="dxa"/>
                  <w:vAlign w:val="center"/>
                </w:tcPr>
                <w:p>
                  <w:pPr>
                    <w:spacing w:line="320" w:lineRule="exact"/>
                    <w:jc w:val="center"/>
                    <w:outlineLvl w:val="0"/>
                    <w:rPr>
                      <w:color w:val="000000"/>
                      <w:szCs w:val="21"/>
                    </w:rPr>
                  </w:pPr>
                  <w:r>
                    <w:rPr>
                      <w:rFonts w:hint="eastAsia"/>
                      <w:color w:val="000000"/>
                      <w:szCs w:val="21"/>
                    </w:rPr>
                    <w:t>4类</w:t>
                  </w:r>
                </w:p>
              </w:tc>
              <w:tc>
                <w:tcPr>
                  <w:tcW w:w="2135" w:type="dxa"/>
                  <w:vAlign w:val="center"/>
                </w:tcPr>
                <w:p>
                  <w:pPr>
                    <w:spacing w:line="320" w:lineRule="exact"/>
                    <w:jc w:val="center"/>
                    <w:outlineLvl w:val="0"/>
                    <w:rPr>
                      <w:color w:val="000000"/>
                      <w:szCs w:val="21"/>
                    </w:rPr>
                  </w:pPr>
                  <w:r>
                    <w:rPr>
                      <w:rFonts w:hint="eastAsia"/>
                      <w:color w:val="000000"/>
                      <w:szCs w:val="21"/>
                    </w:rPr>
                    <w:t>70</w:t>
                  </w:r>
                </w:p>
              </w:tc>
              <w:tc>
                <w:tcPr>
                  <w:tcW w:w="2133" w:type="dxa"/>
                  <w:vAlign w:val="center"/>
                </w:tcPr>
                <w:p>
                  <w:pPr>
                    <w:spacing w:line="320" w:lineRule="exact"/>
                    <w:jc w:val="center"/>
                    <w:outlineLvl w:val="0"/>
                    <w:rPr>
                      <w:color w:val="000000"/>
                      <w:szCs w:val="21"/>
                    </w:rPr>
                  </w:pPr>
                  <w:r>
                    <w:rPr>
                      <w:rFonts w:hint="eastAsia"/>
                      <w:color w:val="00000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atLeast"/>
                <w:jc w:val="center"/>
              </w:trPr>
              <w:tc>
                <w:tcPr>
                  <w:tcW w:w="2029" w:type="dxa"/>
                  <w:vAlign w:val="center"/>
                </w:tcPr>
                <w:p>
                  <w:pPr>
                    <w:spacing w:line="320" w:lineRule="exact"/>
                    <w:jc w:val="center"/>
                    <w:outlineLvl w:val="0"/>
                    <w:rPr>
                      <w:color w:val="000000"/>
                      <w:szCs w:val="21"/>
                    </w:rPr>
                  </w:pPr>
                  <w:r>
                    <w:rPr>
                      <w:color w:val="000000"/>
                      <w:szCs w:val="21"/>
                    </w:rPr>
                    <w:t>标准来源</w:t>
                  </w:r>
                </w:p>
              </w:tc>
              <w:tc>
                <w:tcPr>
                  <w:tcW w:w="5541" w:type="dxa"/>
                  <w:gridSpan w:val="3"/>
                  <w:vAlign w:val="center"/>
                </w:tcPr>
                <w:p>
                  <w:pPr>
                    <w:spacing w:line="320" w:lineRule="exact"/>
                    <w:jc w:val="center"/>
                    <w:outlineLvl w:val="0"/>
                    <w:rPr>
                      <w:color w:val="000000"/>
                      <w:szCs w:val="21"/>
                    </w:rPr>
                  </w:pPr>
                  <w:r>
                    <w:rPr>
                      <w:color w:val="000000"/>
                      <w:szCs w:val="21"/>
                    </w:rPr>
                    <w:t>《工业企业厂界环境噪声排放标准》（GB12348-2008）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atLeast"/>
                <w:jc w:val="center"/>
              </w:trPr>
              <w:tc>
                <w:tcPr>
                  <w:tcW w:w="3302" w:type="dxa"/>
                  <w:gridSpan w:val="2"/>
                  <w:vAlign w:val="center"/>
                </w:tcPr>
                <w:p>
                  <w:pPr>
                    <w:spacing w:line="320" w:lineRule="exact"/>
                    <w:jc w:val="center"/>
                    <w:outlineLvl w:val="0"/>
                    <w:rPr>
                      <w:color w:val="000000"/>
                      <w:szCs w:val="21"/>
                    </w:rPr>
                  </w:pPr>
                  <w:r>
                    <w:rPr>
                      <w:color w:val="000000"/>
                      <w:szCs w:val="21"/>
                    </w:rPr>
                    <w:t>施工期</w:t>
                  </w:r>
                </w:p>
              </w:tc>
              <w:tc>
                <w:tcPr>
                  <w:tcW w:w="2135" w:type="dxa"/>
                  <w:vAlign w:val="center"/>
                </w:tcPr>
                <w:p>
                  <w:pPr>
                    <w:spacing w:line="320" w:lineRule="exact"/>
                    <w:jc w:val="center"/>
                    <w:outlineLvl w:val="0"/>
                    <w:rPr>
                      <w:color w:val="000000"/>
                      <w:szCs w:val="21"/>
                    </w:rPr>
                  </w:pPr>
                  <w:r>
                    <w:rPr>
                      <w:color w:val="000000"/>
                      <w:szCs w:val="21"/>
                    </w:rPr>
                    <w:t>70</w:t>
                  </w:r>
                </w:p>
              </w:tc>
              <w:tc>
                <w:tcPr>
                  <w:tcW w:w="2133" w:type="dxa"/>
                  <w:vAlign w:val="center"/>
                </w:tcPr>
                <w:p>
                  <w:pPr>
                    <w:spacing w:line="320" w:lineRule="exact"/>
                    <w:jc w:val="center"/>
                    <w:outlineLvl w:val="0"/>
                    <w:rPr>
                      <w:color w:val="000000"/>
                      <w:szCs w:val="21"/>
                    </w:rPr>
                  </w:pPr>
                  <w:r>
                    <w:rPr>
                      <w:color w:val="00000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2" w:hRule="atLeast"/>
                <w:jc w:val="center"/>
              </w:trPr>
              <w:tc>
                <w:tcPr>
                  <w:tcW w:w="2029" w:type="dxa"/>
                  <w:vAlign w:val="center"/>
                </w:tcPr>
                <w:p>
                  <w:pPr>
                    <w:spacing w:line="320" w:lineRule="exact"/>
                    <w:jc w:val="center"/>
                    <w:outlineLvl w:val="0"/>
                    <w:rPr>
                      <w:color w:val="000000"/>
                      <w:szCs w:val="21"/>
                    </w:rPr>
                  </w:pPr>
                  <w:r>
                    <w:rPr>
                      <w:color w:val="000000"/>
                      <w:szCs w:val="21"/>
                    </w:rPr>
                    <w:t>标准来源</w:t>
                  </w:r>
                </w:p>
              </w:tc>
              <w:tc>
                <w:tcPr>
                  <w:tcW w:w="5541" w:type="dxa"/>
                  <w:gridSpan w:val="3"/>
                  <w:vAlign w:val="center"/>
                </w:tcPr>
                <w:p>
                  <w:pPr>
                    <w:spacing w:line="320" w:lineRule="exact"/>
                    <w:jc w:val="center"/>
                    <w:outlineLvl w:val="0"/>
                    <w:rPr>
                      <w:color w:val="000000"/>
                      <w:szCs w:val="21"/>
                    </w:rPr>
                  </w:pPr>
                  <w:r>
                    <w:rPr>
                      <w:color w:val="000000"/>
                      <w:szCs w:val="21"/>
                    </w:rPr>
                    <w:t>《建筑施工场界环境噪声排放标准》（GB12523－20</w:t>
                  </w:r>
                  <w:r>
                    <w:rPr>
                      <w:rFonts w:hint="eastAsia"/>
                      <w:color w:val="000000"/>
                      <w:szCs w:val="21"/>
                    </w:rPr>
                    <w:t>1</w:t>
                  </w:r>
                  <w:r>
                    <w:rPr>
                      <w:color w:val="000000"/>
                      <w:szCs w:val="21"/>
                    </w:rPr>
                    <w:t>1）</w:t>
                  </w:r>
                </w:p>
              </w:tc>
            </w:tr>
          </w:tbl>
          <w:p>
            <w:pPr>
              <w:rPr>
                <w:color w:val="000000"/>
                <w:sz w:val="10"/>
                <w:szCs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4" w:hRule="atLeast"/>
        </w:trPr>
        <w:tc>
          <w:tcPr>
            <w:tcW w:w="682" w:type="dxa"/>
            <w:vAlign w:val="top"/>
          </w:tcPr>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r>
              <w:rPr>
                <w:color w:val="000000"/>
                <w:sz w:val="24"/>
              </w:rPr>
              <w:t>总</w:t>
            </w:r>
          </w:p>
          <w:p>
            <w:pPr>
              <w:spacing w:line="360" w:lineRule="auto"/>
              <w:rPr>
                <w:color w:val="000000"/>
                <w:sz w:val="24"/>
              </w:rPr>
            </w:pPr>
            <w:r>
              <w:rPr>
                <w:color w:val="000000"/>
                <w:sz w:val="24"/>
              </w:rPr>
              <w:t>量</w:t>
            </w:r>
          </w:p>
          <w:p>
            <w:pPr>
              <w:spacing w:line="360" w:lineRule="auto"/>
              <w:rPr>
                <w:color w:val="000000"/>
                <w:sz w:val="24"/>
              </w:rPr>
            </w:pPr>
            <w:r>
              <w:rPr>
                <w:color w:val="000000"/>
                <w:sz w:val="24"/>
              </w:rPr>
              <w:t>控</w:t>
            </w:r>
          </w:p>
          <w:p>
            <w:pPr>
              <w:spacing w:line="360" w:lineRule="auto"/>
              <w:rPr>
                <w:color w:val="000000"/>
                <w:sz w:val="24"/>
              </w:rPr>
            </w:pPr>
            <w:r>
              <w:rPr>
                <w:color w:val="000000"/>
                <w:sz w:val="24"/>
              </w:rPr>
              <w:t>制</w:t>
            </w:r>
          </w:p>
          <w:p>
            <w:pPr>
              <w:spacing w:line="360" w:lineRule="auto"/>
              <w:rPr>
                <w:color w:val="000000"/>
                <w:sz w:val="24"/>
              </w:rPr>
            </w:pPr>
            <w:r>
              <w:rPr>
                <w:color w:val="000000"/>
                <w:sz w:val="24"/>
              </w:rPr>
              <w:t>指</w:t>
            </w:r>
          </w:p>
          <w:p>
            <w:pPr>
              <w:spacing w:line="360" w:lineRule="auto"/>
              <w:rPr>
                <w:color w:val="000000"/>
                <w:sz w:val="24"/>
              </w:rPr>
            </w:pPr>
            <w:r>
              <w:rPr>
                <w:color w:val="000000"/>
                <w:sz w:val="24"/>
              </w:rPr>
              <w:t>标</w:t>
            </w:r>
          </w:p>
          <w:p>
            <w:pPr>
              <w:spacing w:line="360" w:lineRule="auto"/>
              <w:rPr>
                <w:color w:val="000000"/>
                <w:sz w:val="24"/>
              </w:rPr>
            </w:pPr>
          </w:p>
          <w:p>
            <w:pPr>
              <w:spacing w:line="360" w:lineRule="auto"/>
              <w:jc w:val="center"/>
              <w:rPr>
                <w:color w:val="000000"/>
                <w:sz w:val="24"/>
              </w:rPr>
            </w:pPr>
          </w:p>
        </w:tc>
        <w:tc>
          <w:tcPr>
            <w:tcW w:w="7796" w:type="dxa"/>
            <w:vAlign w:val="top"/>
          </w:tcPr>
          <w:p>
            <w:pPr>
              <w:spacing w:line="360" w:lineRule="auto"/>
              <w:rPr>
                <w:sz w:val="24"/>
              </w:rPr>
            </w:pPr>
            <w:r>
              <w:rPr>
                <w:sz w:val="24"/>
              </w:rPr>
              <w:t>根据污染物排放情况确定总量控制建议指标如下：</w:t>
            </w:r>
          </w:p>
          <w:p>
            <w:pPr>
              <w:spacing w:line="360" w:lineRule="auto"/>
              <w:ind w:firstLine="480"/>
              <w:rPr>
                <w:sz w:val="24"/>
              </w:rPr>
            </w:pPr>
            <w:r>
              <w:rPr>
                <w:sz w:val="24"/>
              </w:rPr>
              <w:t>大气污染物：项目的废气主要为</w:t>
            </w:r>
            <w:r>
              <w:rPr>
                <w:rFonts w:hint="eastAsia"/>
                <w:sz w:val="24"/>
              </w:rPr>
              <w:t>物流配送车辆汽车尾气</w:t>
            </w:r>
            <w:r>
              <w:rPr>
                <w:sz w:val="24"/>
              </w:rPr>
              <w:t>，均属无组织排放，暂不属于环保总量控制范围，其污染物排放量仅供环保管理参考。</w:t>
            </w:r>
          </w:p>
          <w:p>
            <w:pPr>
              <w:spacing w:line="360" w:lineRule="auto"/>
              <w:ind w:firstLine="480"/>
              <w:rPr>
                <w:color w:val="000000"/>
                <w:sz w:val="24"/>
              </w:rPr>
            </w:pPr>
            <w:r>
              <w:rPr>
                <w:color w:val="000000"/>
                <w:sz w:val="24"/>
              </w:rPr>
              <w:t>废水：项目建成后水污染物的接管总量考核指标为：水污染物的接管总量考核指标为：</w:t>
            </w:r>
            <w:r>
              <w:rPr>
                <w:sz w:val="24"/>
              </w:rPr>
              <w:t>污水量</w:t>
            </w:r>
            <w:r>
              <w:rPr>
                <w:rFonts w:hint="eastAsia"/>
                <w:sz w:val="24"/>
              </w:rPr>
              <w:t>26816</w:t>
            </w:r>
            <w:r>
              <w:rPr>
                <w:sz w:val="24"/>
              </w:rPr>
              <w:t>m</w:t>
            </w:r>
            <w:r>
              <w:rPr>
                <w:sz w:val="24"/>
                <w:vertAlign w:val="superscript"/>
              </w:rPr>
              <w:t>3</w:t>
            </w:r>
            <w:r>
              <w:rPr>
                <w:sz w:val="24"/>
              </w:rPr>
              <w:t>/a，COD</w:t>
            </w:r>
            <w:r>
              <w:rPr>
                <w:rFonts w:hint="eastAsia"/>
                <w:sz w:val="24"/>
              </w:rPr>
              <w:t>8.04</w:t>
            </w:r>
            <w:r>
              <w:rPr>
                <w:sz w:val="24"/>
              </w:rPr>
              <w:t>t/a、SS</w:t>
            </w:r>
            <w:r>
              <w:rPr>
                <w:rFonts w:hint="eastAsia"/>
                <w:sz w:val="24"/>
              </w:rPr>
              <w:t>4.69</w:t>
            </w:r>
            <w:r>
              <w:rPr>
                <w:sz w:val="24"/>
              </w:rPr>
              <w:t>t/a、氨氮0.</w:t>
            </w:r>
            <w:r>
              <w:rPr>
                <w:rFonts w:hint="eastAsia"/>
                <w:sz w:val="24"/>
              </w:rPr>
              <w:t>75</w:t>
            </w:r>
            <w:r>
              <w:rPr>
                <w:sz w:val="24"/>
              </w:rPr>
              <w:t>t/a、TP0.</w:t>
            </w:r>
            <w:r>
              <w:rPr>
                <w:rFonts w:hint="eastAsia"/>
                <w:sz w:val="24"/>
              </w:rPr>
              <w:t>09</w:t>
            </w:r>
            <w:r>
              <w:rPr>
                <w:sz w:val="24"/>
              </w:rPr>
              <w:t>t/a；经城南污水处理厂处理后的最终排放指标为：COD</w:t>
            </w:r>
            <w:r>
              <w:rPr>
                <w:rFonts w:hint="eastAsia"/>
                <w:sz w:val="24"/>
              </w:rPr>
              <w:t xml:space="preserve"> 1.34</w:t>
            </w:r>
            <w:r>
              <w:rPr>
                <w:sz w:val="24"/>
              </w:rPr>
              <w:t>t/a，SS</w:t>
            </w:r>
            <w:r>
              <w:rPr>
                <w:rFonts w:hint="eastAsia"/>
                <w:sz w:val="24"/>
              </w:rPr>
              <w:t xml:space="preserve"> 0.27</w:t>
            </w:r>
            <w:r>
              <w:rPr>
                <w:sz w:val="24"/>
              </w:rPr>
              <w:t>t/a，NH</w:t>
            </w:r>
            <w:r>
              <w:rPr>
                <w:sz w:val="24"/>
                <w:vertAlign w:val="subscript"/>
              </w:rPr>
              <w:t>3</w:t>
            </w:r>
            <w:r>
              <w:rPr>
                <w:sz w:val="24"/>
              </w:rPr>
              <w:t>-N 0.</w:t>
            </w:r>
            <w:r>
              <w:rPr>
                <w:rFonts w:hint="eastAsia"/>
                <w:sz w:val="24"/>
              </w:rPr>
              <w:t>13</w:t>
            </w:r>
            <w:r>
              <w:rPr>
                <w:sz w:val="24"/>
              </w:rPr>
              <w:t>t/a，TP 0.</w:t>
            </w:r>
            <w:r>
              <w:rPr>
                <w:rFonts w:hint="eastAsia"/>
                <w:sz w:val="24"/>
              </w:rPr>
              <w:t>013</w:t>
            </w:r>
            <w:r>
              <w:rPr>
                <w:sz w:val="24"/>
              </w:rPr>
              <w:t>t/a。项目废水总量平衡纳入城南污水处理厂的总量平衡方案中</w:t>
            </w:r>
            <w:r>
              <w:rPr>
                <w:color w:val="000000"/>
                <w:sz w:val="24"/>
              </w:rPr>
              <w:t>。</w:t>
            </w:r>
          </w:p>
          <w:p>
            <w:pPr>
              <w:spacing w:line="360" w:lineRule="auto"/>
              <w:ind w:firstLine="480" w:firstLineChars="200"/>
              <w:rPr>
                <w:color w:val="0000FF"/>
                <w:sz w:val="24"/>
              </w:rPr>
            </w:pPr>
            <w:r>
              <w:rPr>
                <w:color w:val="000000"/>
                <w:sz w:val="24"/>
              </w:rPr>
              <w:t>固废：</w:t>
            </w:r>
            <w:r>
              <w:rPr>
                <w:sz w:val="24"/>
              </w:rPr>
              <w:t>本项目固废全部处置，零排放，故无需申请固废总量控制指标。</w:t>
            </w:r>
          </w:p>
          <w:p>
            <w:pPr>
              <w:spacing w:line="360" w:lineRule="auto"/>
              <w:ind w:firstLine="480" w:firstLineChars="200"/>
              <w:rPr>
                <w:color w:val="0000FF"/>
                <w:sz w:val="24"/>
              </w:rPr>
            </w:pPr>
            <w:r>
              <w:rPr>
                <w:sz w:val="24"/>
              </w:rPr>
              <w:t>本项目污染物排放量汇总见表5-7。</w:t>
            </w:r>
          </w:p>
          <w:p>
            <w:pPr>
              <w:tabs>
                <w:tab w:val="left" w:pos="1507"/>
                <w:tab w:val="center" w:pos="4293"/>
              </w:tabs>
              <w:adjustRightInd w:val="0"/>
              <w:snapToGrid w:val="0"/>
              <w:ind w:firstLine="442" w:firstLineChars="200"/>
              <w:jc w:val="center"/>
              <w:rPr>
                <w:sz w:val="24"/>
              </w:rPr>
            </w:pPr>
            <w:r>
              <w:rPr>
                <w:b/>
                <w:snapToGrid w:val="0"/>
                <w:kern w:val="0"/>
                <w:sz w:val="22"/>
              </w:rPr>
              <w:t>表5-7   项目建成后污染物排放量汇总表（t/a）</w:t>
            </w:r>
          </w:p>
          <w:tbl>
            <w:tblPr>
              <w:tblStyle w:val="33"/>
              <w:tblW w:w="7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397"/>
              <w:gridCol w:w="802"/>
              <w:gridCol w:w="1051"/>
              <w:gridCol w:w="1075"/>
              <w:gridCol w:w="1042"/>
              <w:gridCol w:w="89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602" w:type="dxa"/>
                  <w:shd w:val="clear" w:color="auto" w:fill="auto"/>
                  <w:vAlign w:val="center"/>
                </w:tcPr>
                <w:p>
                  <w:pPr>
                    <w:spacing w:line="320" w:lineRule="exact"/>
                    <w:jc w:val="center"/>
                    <w:rPr>
                      <w:snapToGrid w:val="0"/>
                      <w:color w:val="000000"/>
                      <w:sz w:val="18"/>
                      <w:szCs w:val="18"/>
                    </w:rPr>
                  </w:pPr>
                  <w:r>
                    <w:rPr>
                      <w:snapToGrid w:val="0"/>
                      <w:color w:val="000000"/>
                      <w:sz w:val="18"/>
                      <w:szCs w:val="18"/>
                    </w:rPr>
                    <w:t>种类</w:t>
                  </w: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污染物名称</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项目接管量</w:t>
                  </w:r>
                </w:p>
              </w:tc>
              <w:tc>
                <w:tcPr>
                  <w:tcW w:w="1075" w:type="dxa"/>
                  <w:shd w:val="clear" w:color="auto" w:fill="auto"/>
                  <w:vAlign w:val="center"/>
                </w:tcPr>
                <w:p>
                  <w:pPr>
                    <w:spacing w:line="320" w:lineRule="exact"/>
                    <w:jc w:val="center"/>
                    <w:rPr>
                      <w:snapToGrid w:val="0"/>
                      <w:color w:val="000000"/>
                      <w:sz w:val="18"/>
                      <w:szCs w:val="18"/>
                    </w:rPr>
                  </w:pPr>
                  <w:r>
                    <w:rPr>
                      <w:snapToGrid w:val="0"/>
                      <w:color w:val="000000"/>
                      <w:sz w:val="18"/>
                      <w:szCs w:val="18"/>
                    </w:rPr>
                    <w:t>项目最终排放量</w:t>
                  </w:r>
                </w:p>
              </w:tc>
              <w:tc>
                <w:tcPr>
                  <w:tcW w:w="1042" w:type="dxa"/>
                  <w:shd w:val="clear" w:color="auto" w:fill="auto"/>
                  <w:vAlign w:val="center"/>
                </w:tcPr>
                <w:p>
                  <w:pPr>
                    <w:spacing w:line="320" w:lineRule="exact"/>
                    <w:jc w:val="center"/>
                    <w:rPr>
                      <w:snapToGrid w:val="0"/>
                      <w:color w:val="000000"/>
                      <w:sz w:val="18"/>
                      <w:szCs w:val="18"/>
                    </w:rPr>
                  </w:pPr>
                  <w:r>
                    <w:rPr>
                      <w:snapToGrid w:val="0"/>
                      <w:color w:val="000000"/>
                      <w:sz w:val="18"/>
                      <w:szCs w:val="18"/>
                    </w:rPr>
                    <w:t>以新带老量</w:t>
                  </w:r>
                </w:p>
              </w:tc>
              <w:tc>
                <w:tcPr>
                  <w:tcW w:w="896" w:type="dxa"/>
                  <w:shd w:val="clear" w:color="auto" w:fill="auto"/>
                  <w:vAlign w:val="center"/>
                </w:tcPr>
                <w:p>
                  <w:pPr>
                    <w:spacing w:line="320" w:lineRule="exact"/>
                    <w:jc w:val="center"/>
                    <w:rPr>
                      <w:snapToGrid w:val="0"/>
                      <w:color w:val="000000"/>
                      <w:sz w:val="18"/>
                      <w:szCs w:val="18"/>
                    </w:rPr>
                  </w:pPr>
                  <w:r>
                    <w:rPr>
                      <w:snapToGrid w:val="0"/>
                      <w:color w:val="000000"/>
                      <w:sz w:val="18"/>
                      <w:szCs w:val="18"/>
                    </w:rPr>
                    <w:t>新增申请</w:t>
                  </w:r>
                </w:p>
              </w:tc>
              <w:tc>
                <w:tcPr>
                  <w:tcW w:w="1705" w:type="dxa"/>
                  <w:shd w:val="clear" w:color="auto" w:fill="auto"/>
                  <w:vAlign w:val="center"/>
                </w:tcPr>
                <w:p>
                  <w:pPr>
                    <w:spacing w:line="320" w:lineRule="exact"/>
                    <w:jc w:val="center"/>
                    <w:rPr>
                      <w:snapToGrid w:val="0"/>
                      <w:color w:val="000000"/>
                      <w:sz w:val="18"/>
                      <w:szCs w:val="18"/>
                    </w:rPr>
                  </w:pPr>
                  <w:r>
                    <w:rPr>
                      <w:snapToGrid w:val="0"/>
                      <w:color w:val="000000"/>
                      <w:sz w:val="18"/>
                      <w:szCs w:val="18"/>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602" w:type="dxa"/>
                  <w:vMerge w:val="restart"/>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废水</w:t>
                  </w: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废水量</w:t>
                  </w:r>
                </w:p>
              </w:tc>
              <w:tc>
                <w:tcPr>
                  <w:tcW w:w="1051"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26816</w:t>
                  </w:r>
                </w:p>
              </w:tc>
              <w:tc>
                <w:tcPr>
                  <w:tcW w:w="1075"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26816</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26816</w:t>
                  </w:r>
                </w:p>
              </w:tc>
              <w:tc>
                <w:tcPr>
                  <w:tcW w:w="1705" w:type="dxa"/>
                  <w:vMerge w:val="restart"/>
                  <w:shd w:val="clear" w:color="auto" w:fill="auto"/>
                  <w:vAlign w:val="center"/>
                </w:tcPr>
                <w:p>
                  <w:pPr>
                    <w:spacing w:line="320" w:lineRule="exact"/>
                    <w:jc w:val="center"/>
                    <w:rPr>
                      <w:snapToGrid w:val="0"/>
                      <w:color w:val="000000"/>
                      <w:sz w:val="18"/>
                      <w:szCs w:val="18"/>
                    </w:rPr>
                  </w:pPr>
                  <w:r>
                    <w:rPr>
                      <w:snapToGrid w:val="0"/>
                      <w:color w:val="000000"/>
                      <w:sz w:val="18"/>
                      <w:szCs w:val="18"/>
                    </w:rPr>
                    <w:t>员工生活污水经化粪池处理，达</w:t>
                  </w:r>
                  <w:r>
                    <w:rPr>
                      <w:rFonts w:hint="eastAsia"/>
                      <w:snapToGrid w:val="0"/>
                      <w:color w:val="000000"/>
                      <w:sz w:val="18"/>
                      <w:szCs w:val="18"/>
                    </w:rPr>
                    <w:t>《污水排入城市下水道水质标准》（CJ 343-2010）中B等级</w:t>
                  </w:r>
                  <w:r>
                    <w:rPr>
                      <w:snapToGrid w:val="0"/>
                      <w:color w:val="000000"/>
                      <w:sz w:val="18"/>
                      <w:szCs w:val="18"/>
                    </w:rPr>
                    <w:t>标准后入南京城南污水处理厂集中处理达标排放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602" w:type="dxa"/>
                  <w:vMerge w:val="continue"/>
                  <w:shd w:val="clear" w:color="auto" w:fill="auto"/>
                  <w:vAlign w:val="center"/>
                </w:tcPr>
                <w:p>
                  <w:pPr>
                    <w:spacing w:line="320" w:lineRule="exact"/>
                    <w:jc w:val="center"/>
                    <w:rPr>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COD</w:t>
                  </w:r>
                </w:p>
              </w:tc>
              <w:tc>
                <w:tcPr>
                  <w:tcW w:w="1051"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8.04</w:t>
                  </w:r>
                </w:p>
              </w:tc>
              <w:tc>
                <w:tcPr>
                  <w:tcW w:w="1075"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1.34</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1.34</w:t>
                  </w:r>
                </w:p>
              </w:tc>
              <w:tc>
                <w:tcPr>
                  <w:tcW w:w="1705" w:type="dxa"/>
                  <w:vMerge w:val="continue"/>
                  <w:shd w:val="clear" w:color="auto" w:fill="auto"/>
                  <w:vAlign w:val="center"/>
                </w:tcPr>
                <w:p>
                  <w:pPr>
                    <w:spacing w:line="320" w:lineRule="exact"/>
                    <w:jc w:val="center"/>
                    <w:rPr>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602" w:type="dxa"/>
                  <w:vMerge w:val="continue"/>
                  <w:shd w:val="clear" w:color="auto" w:fill="auto"/>
                  <w:vAlign w:val="center"/>
                </w:tcPr>
                <w:p>
                  <w:pPr>
                    <w:spacing w:line="320" w:lineRule="exact"/>
                    <w:jc w:val="center"/>
                    <w:rPr>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SS</w:t>
                  </w:r>
                </w:p>
              </w:tc>
              <w:tc>
                <w:tcPr>
                  <w:tcW w:w="1051"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4.69</w:t>
                  </w:r>
                </w:p>
              </w:tc>
              <w:tc>
                <w:tcPr>
                  <w:tcW w:w="1075"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0.27</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0.27</w:t>
                  </w:r>
                </w:p>
              </w:tc>
              <w:tc>
                <w:tcPr>
                  <w:tcW w:w="1705" w:type="dxa"/>
                  <w:vMerge w:val="continue"/>
                  <w:shd w:val="clear" w:color="auto" w:fill="auto"/>
                  <w:vAlign w:val="center"/>
                </w:tcPr>
                <w:p>
                  <w:pPr>
                    <w:spacing w:line="320" w:lineRule="exact"/>
                    <w:jc w:val="center"/>
                    <w:rPr>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02" w:type="dxa"/>
                  <w:vMerge w:val="continue"/>
                  <w:shd w:val="clear" w:color="auto" w:fill="auto"/>
                  <w:vAlign w:val="center"/>
                </w:tcPr>
                <w:p>
                  <w:pPr>
                    <w:spacing w:line="320" w:lineRule="exact"/>
                    <w:jc w:val="center"/>
                    <w:rPr>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NH</w:t>
                  </w:r>
                  <w:r>
                    <w:rPr>
                      <w:snapToGrid w:val="0"/>
                      <w:color w:val="000000"/>
                      <w:sz w:val="18"/>
                      <w:szCs w:val="18"/>
                      <w:vertAlign w:val="subscript"/>
                    </w:rPr>
                    <w:t>3</w:t>
                  </w:r>
                  <w:r>
                    <w:rPr>
                      <w:snapToGrid w:val="0"/>
                      <w:color w:val="000000"/>
                      <w:sz w:val="18"/>
                      <w:szCs w:val="18"/>
                    </w:rPr>
                    <w:t>-N</w:t>
                  </w:r>
                </w:p>
              </w:tc>
              <w:tc>
                <w:tcPr>
                  <w:tcW w:w="1051"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0.75</w:t>
                  </w:r>
                </w:p>
              </w:tc>
              <w:tc>
                <w:tcPr>
                  <w:tcW w:w="1075"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0.13</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0.13</w:t>
                  </w:r>
                </w:p>
              </w:tc>
              <w:tc>
                <w:tcPr>
                  <w:tcW w:w="1705" w:type="dxa"/>
                  <w:vMerge w:val="continue"/>
                  <w:shd w:val="clear" w:color="auto" w:fill="auto"/>
                  <w:vAlign w:val="center"/>
                </w:tcPr>
                <w:p>
                  <w:pPr>
                    <w:spacing w:line="320" w:lineRule="exact"/>
                    <w:jc w:val="center"/>
                    <w:rPr>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continue"/>
                  <w:shd w:val="clear" w:color="auto" w:fill="auto"/>
                  <w:vAlign w:val="center"/>
                </w:tcPr>
                <w:p>
                  <w:pPr>
                    <w:spacing w:line="320" w:lineRule="exact"/>
                    <w:jc w:val="center"/>
                    <w:rPr>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TP</w:t>
                  </w:r>
                </w:p>
              </w:tc>
              <w:tc>
                <w:tcPr>
                  <w:tcW w:w="1051"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0.09</w:t>
                  </w:r>
                </w:p>
              </w:tc>
              <w:tc>
                <w:tcPr>
                  <w:tcW w:w="1075"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0.013</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0.013</w:t>
                  </w:r>
                </w:p>
              </w:tc>
              <w:tc>
                <w:tcPr>
                  <w:tcW w:w="1705" w:type="dxa"/>
                  <w:vMerge w:val="continue"/>
                  <w:shd w:val="clear" w:color="auto" w:fill="auto"/>
                  <w:vAlign w:val="center"/>
                </w:tcPr>
                <w:p>
                  <w:pPr>
                    <w:spacing w:line="320" w:lineRule="exact"/>
                    <w:jc w:val="center"/>
                    <w:rPr>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restart"/>
                  <w:shd w:val="clear" w:color="auto" w:fill="auto"/>
                  <w:vAlign w:val="center"/>
                </w:tcPr>
                <w:p>
                  <w:pPr>
                    <w:spacing w:line="320" w:lineRule="exact"/>
                    <w:jc w:val="center"/>
                    <w:rPr>
                      <w:snapToGrid w:val="0"/>
                      <w:color w:val="000000"/>
                      <w:sz w:val="18"/>
                      <w:szCs w:val="18"/>
                    </w:rPr>
                  </w:pPr>
                  <w:r>
                    <w:rPr>
                      <w:snapToGrid w:val="0"/>
                      <w:color w:val="000000"/>
                      <w:sz w:val="18"/>
                      <w:szCs w:val="18"/>
                    </w:rPr>
                    <w:t>废气</w:t>
                  </w:r>
                </w:p>
              </w:tc>
              <w:tc>
                <w:tcPr>
                  <w:tcW w:w="397" w:type="dxa"/>
                  <w:vMerge w:val="restart"/>
                  <w:shd w:val="clear" w:color="auto" w:fill="auto"/>
                  <w:vAlign w:val="center"/>
                </w:tcPr>
                <w:p>
                  <w:pPr>
                    <w:spacing w:line="320" w:lineRule="exact"/>
                    <w:jc w:val="center"/>
                    <w:rPr>
                      <w:snapToGrid w:val="0"/>
                      <w:color w:val="000000"/>
                      <w:sz w:val="18"/>
                      <w:szCs w:val="18"/>
                    </w:rPr>
                  </w:pPr>
                  <w:r>
                    <w:rPr>
                      <w:snapToGrid w:val="0"/>
                      <w:color w:val="000000"/>
                      <w:sz w:val="18"/>
                      <w:szCs w:val="18"/>
                    </w:rPr>
                    <w:t>无组织</w:t>
                  </w:r>
                </w:p>
              </w:tc>
              <w:tc>
                <w:tcPr>
                  <w:tcW w:w="802"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CO</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0.66</w:t>
                  </w:r>
                </w:p>
              </w:tc>
              <w:tc>
                <w:tcPr>
                  <w:tcW w:w="1042" w:type="dxa"/>
                  <w:shd w:val="clear" w:color="auto" w:fill="auto"/>
                  <w:vAlign w:val="center"/>
                </w:tcPr>
                <w:p>
                  <w:pPr>
                    <w:spacing w:line="320" w:lineRule="exact"/>
                    <w:jc w:val="center"/>
                    <w:rPr>
                      <w:snapToGrid w:val="0"/>
                      <w:color w:val="000000"/>
                      <w:sz w:val="18"/>
                      <w:szCs w:val="18"/>
                    </w:rPr>
                  </w:pPr>
                  <w:r>
                    <w:rPr>
                      <w:snapToGrid w:val="0"/>
                      <w:color w:val="000000"/>
                      <w:sz w:val="18"/>
                      <w:szCs w:val="18"/>
                    </w:rPr>
                    <w:t>0</w:t>
                  </w:r>
                </w:p>
              </w:tc>
              <w:tc>
                <w:tcPr>
                  <w:tcW w:w="896" w:type="dxa"/>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0.66</w:t>
                  </w:r>
                </w:p>
              </w:tc>
              <w:tc>
                <w:tcPr>
                  <w:tcW w:w="1705" w:type="dxa"/>
                  <w:vMerge w:val="restart"/>
                  <w:shd w:val="clear" w:color="auto" w:fill="auto"/>
                  <w:vAlign w:val="center"/>
                </w:tcPr>
                <w:p>
                  <w:pPr>
                    <w:spacing w:line="320" w:lineRule="exact"/>
                    <w:jc w:val="center"/>
                    <w:rPr>
                      <w:snapToGrid w:val="0"/>
                      <w:color w:val="000000"/>
                      <w:sz w:val="18"/>
                      <w:szCs w:val="18"/>
                    </w:rPr>
                  </w:pPr>
                  <w:r>
                    <w:rPr>
                      <w:snapToGrid w:val="0"/>
                      <w:color w:val="000000"/>
                      <w:sz w:val="18"/>
                      <w:szCs w:val="18"/>
                    </w:rPr>
                    <w:t>区域大气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continue"/>
                  <w:shd w:val="clear" w:color="auto" w:fill="auto"/>
                  <w:vAlign w:val="center"/>
                </w:tcPr>
                <w:p>
                  <w:pPr>
                    <w:spacing w:line="320" w:lineRule="exact"/>
                    <w:jc w:val="center"/>
                    <w:rPr>
                      <w:snapToGrid w:val="0"/>
                      <w:color w:val="000000"/>
                      <w:sz w:val="18"/>
                      <w:szCs w:val="18"/>
                    </w:rPr>
                  </w:pPr>
                </w:p>
              </w:tc>
              <w:tc>
                <w:tcPr>
                  <w:tcW w:w="397" w:type="dxa"/>
                  <w:vMerge w:val="continue"/>
                  <w:shd w:val="clear" w:color="auto" w:fill="auto"/>
                  <w:vAlign w:val="center"/>
                </w:tcPr>
                <w:p>
                  <w:pPr>
                    <w:spacing w:line="320" w:lineRule="exact"/>
                    <w:jc w:val="center"/>
                    <w:rPr>
                      <w:snapToGrid w:val="0"/>
                      <w:color w:val="000000"/>
                      <w:sz w:val="18"/>
                      <w:szCs w:val="18"/>
                    </w:rPr>
                  </w:pPr>
                </w:p>
              </w:tc>
              <w:tc>
                <w:tcPr>
                  <w:tcW w:w="802"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NO</w:t>
                  </w:r>
                  <w:r>
                    <w:rPr>
                      <w:rFonts w:hint="eastAsia"/>
                      <w:color w:val="000000"/>
                      <w:sz w:val="18"/>
                      <w:szCs w:val="21"/>
                      <w:vertAlign w:val="subscript"/>
                    </w:rPr>
                    <w:t>X</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0.41</w:t>
                  </w:r>
                </w:p>
              </w:tc>
              <w:tc>
                <w:tcPr>
                  <w:tcW w:w="1042" w:type="dxa"/>
                  <w:shd w:val="clear" w:color="auto" w:fill="auto"/>
                  <w:vAlign w:val="center"/>
                </w:tcPr>
                <w:p>
                  <w:pPr>
                    <w:spacing w:line="320" w:lineRule="exact"/>
                    <w:jc w:val="center"/>
                    <w:rPr>
                      <w:snapToGrid w:val="0"/>
                      <w:color w:val="000000"/>
                      <w:sz w:val="18"/>
                      <w:szCs w:val="18"/>
                    </w:rPr>
                  </w:pPr>
                  <w:r>
                    <w:rPr>
                      <w:snapToGrid w:val="0"/>
                      <w:color w:val="000000"/>
                      <w:sz w:val="18"/>
                      <w:szCs w:val="18"/>
                    </w:rPr>
                    <w:t>0</w:t>
                  </w:r>
                </w:p>
              </w:tc>
              <w:tc>
                <w:tcPr>
                  <w:tcW w:w="896" w:type="dxa"/>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0.41</w:t>
                  </w:r>
                </w:p>
              </w:tc>
              <w:tc>
                <w:tcPr>
                  <w:tcW w:w="1705" w:type="dxa"/>
                  <w:vMerge w:val="continue"/>
                  <w:shd w:val="clear" w:color="auto" w:fill="auto"/>
                  <w:vAlign w:val="center"/>
                </w:tcPr>
                <w:p>
                  <w:pPr>
                    <w:spacing w:line="320" w:lineRule="exact"/>
                    <w:jc w:val="center"/>
                    <w:rPr>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restart"/>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固废</w:t>
                  </w:r>
                </w:p>
              </w:tc>
              <w:tc>
                <w:tcPr>
                  <w:tcW w:w="1199" w:type="dxa"/>
                  <w:gridSpan w:val="2"/>
                  <w:shd w:val="clear" w:color="auto" w:fill="auto"/>
                  <w:vAlign w:val="center"/>
                </w:tcPr>
                <w:p>
                  <w:pPr>
                    <w:spacing w:line="320" w:lineRule="exact"/>
                    <w:jc w:val="center"/>
                    <w:rPr>
                      <w:snapToGrid w:val="0"/>
                      <w:color w:val="000000"/>
                      <w:sz w:val="18"/>
                      <w:szCs w:val="18"/>
                    </w:rPr>
                  </w:pPr>
                  <w:r>
                    <w:rPr>
                      <w:snapToGrid w:val="0"/>
                      <w:color w:val="000000"/>
                      <w:sz w:val="18"/>
                      <w:szCs w:val="18"/>
                    </w:rPr>
                    <w:t>生活垃圾</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05" w:type="dxa"/>
                  <w:vMerge w:val="restart"/>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固废零排放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continue"/>
                  <w:shd w:val="clear" w:color="auto" w:fill="auto"/>
                  <w:vAlign w:val="center"/>
                </w:tcPr>
                <w:p>
                  <w:pPr>
                    <w:spacing w:line="320" w:lineRule="exact"/>
                    <w:jc w:val="center"/>
                    <w:rPr>
                      <w:rFonts w:hint="eastAsia"/>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办公垃圾</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05" w:type="dxa"/>
                  <w:vMerge w:val="continue"/>
                  <w:shd w:val="clear" w:color="auto" w:fill="auto"/>
                  <w:vAlign w:val="center"/>
                </w:tcPr>
                <w:p>
                  <w:pPr>
                    <w:spacing w:line="320" w:lineRule="exact"/>
                    <w:jc w:val="center"/>
                    <w:rPr>
                      <w:rFonts w:hint="eastAsia"/>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continue"/>
                  <w:shd w:val="clear" w:color="auto" w:fill="auto"/>
                  <w:vAlign w:val="center"/>
                </w:tcPr>
                <w:p>
                  <w:pPr>
                    <w:spacing w:line="320" w:lineRule="exact"/>
                    <w:jc w:val="center"/>
                    <w:rPr>
                      <w:rFonts w:hint="eastAsia"/>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废包装</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05" w:type="dxa"/>
                  <w:vMerge w:val="continue"/>
                  <w:shd w:val="clear" w:color="auto" w:fill="auto"/>
                  <w:vAlign w:val="center"/>
                </w:tcPr>
                <w:p>
                  <w:pPr>
                    <w:spacing w:line="320" w:lineRule="exact"/>
                    <w:jc w:val="center"/>
                    <w:rPr>
                      <w:rFonts w:hint="eastAsia"/>
                      <w:snapToGrid w:val="0"/>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602" w:type="dxa"/>
                  <w:vMerge w:val="continue"/>
                  <w:shd w:val="clear" w:color="auto" w:fill="auto"/>
                  <w:vAlign w:val="center"/>
                </w:tcPr>
                <w:p>
                  <w:pPr>
                    <w:spacing w:line="320" w:lineRule="exact"/>
                    <w:jc w:val="center"/>
                    <w:rPr>
                      <w:rFonts w:hint="eastAsia"/>
                      <w:snapToGrid w:val="0"/>
                      <w:color w:val="000000"/>
                      <w:sz w:val="18"/>
                      <w:szCs w:val="18"/>
                    </w:rPr>
                  </w:pPr>
                </w:p>
              </w:tc>
              <w:tc>
                <w:tcPr>
                  <w:tcW w:w="1199" w:type="dxa"/>
                  <w:gridSpan w:val="2"/>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废机油</w:t>
                  </w:r>
                </w:p>
              </w:tc>
              <w:tc>
                <w:tcPr>
                  <w:tcW w:w="1051" w:type="dxa"/>
                  <w:shd w:val="clear" w:color="auto" w:fill="auto"/>
                  <w:vAlign w:val="center"/>
                </w:tcPr>
                <w:p>
                  <w:pPr>
                    <w:spacing w:line="320" w:lineRule="exact"/>
                    <w:jc w:val="center"/>
                    <w:rPr>
                      <w:snapToGrid w:val="0"/>
                      <w:color w:val="000000"/>
                      <w:sz w:val="18"/>
                      <w:szCs w:val="18"/>
                    </w:rPr>
                  </w:pPr>
                  <w:r>
                    <w:rPr>
                      <w:snapToGrid w:val="0"/>
                      <w:color w:val="000000"/>
                      <w:sz w:val="18"/>
                      <w:szCs w:val="18"/>
                    </w:rPr>
                    <w:t>/</w:t>
                  </w:r>
                </w:p>
              </w:tc>
              <w:tc>
                <w:tcPr>
                  <w:tcW w:w="1075"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042" w:type="dxa"/>
                  <w:shd w:val="clear" w:color="auto" w:fill="auto"/>
                  <w:vAlign w:val="center"/>
                </w:tcPr>
                <w:p>
                  <w:pPr>
                    <w:spacing w:line="320" w:lineRule="exact"/>
                    <w:jc w:val="center"/>
                    <w:rPr>
                      <w:snapToGrid w:val="0"/>
                      <w:color w:val="000000"/>
                      <w:sz w:val="18"/>
                      <w:szCs w:val="18"/>
                    </w:rPr>
                  </w:pPr>
                  <w:r>
                    <w:rPr>
                      <w:rFonts w:hint="eastAsia"/>
                      <w:snapToGrid w:val="0"/>
                      <w:color w:val="000000"/>
                      <w:sz w:val="18"/>
                      <w:szCs w:val="18"/>
                    </w:rPr>
                    <w:t>0</w:t>
                  </w:r>
                </w:p>
              </w:tc>
              <w:tc>
                <w:tcPr>
                  <w:tcW w:w="896" w:type="dxa"/>
                  <w:shd w:val="clear" w:color="auto" w:fill="auto"/>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05" w:type="dxa"/>
                  <w:vMerge w:val="continue"/>
                  <w:shd w:val="clear" w:color="auto" w:fill="auto"/>
                  <w:vAlign w:val="center"/>
                </w:tcPr>
                <w:p>
                  <w:pPr>
                    <w:spacing w:line="320" w:lineRule="exact"/>
                    <w:jc w:val="center"/>
                    <w:rPr>
                      <w:rFonts w:hint="eastAsia"/>
                      <w:snapToGrid w:val="0"/>
                      <w:color w:val="000000"/>
                      <w:sz w:val="18"/>
                      <w:szCs w:val="18"/>
                    </w:rPr>
                  </w:pPr>
                </w:p>
              </w:tc>
            </w:tr>
          </w:tbl>
          <w:p>
            <w:pPr>
              <w:spacing w:line="440" w:lineRule="atLeast"/>
              <w:ind w:firstLine="600" w:firstLineChars="250"/>
              <w:rPr>
                <w:color w:val="000000"/>
                <w:sz w:val="24"/>
              </w:rPr>
            </w:pPr>
          </w:p>
          <w:p>
            <w:pPr>
              <w:ind w:firstLine="250" w:firstLineChars="250"/>
              <w:rPr>
                <w:color w:val="000000"/>
                <w:sz w:val="10"/>
                <w:szCs w:val="10"/>
              </w:rPr>
            </w:pPr>
          </w:p>
          <w:p>
            <w:pPr>
              <w:ind w:firstLine="250" w:firstLineChars="250"/>
              <w:rPr>
                <w:color w:val="000000"/>
                <w:sz w:val="10"/>
                <w:szCs w:val="10"/>
              </w:rPr>
            </w:pPr>
          </w:p>
        </w:tc>
      </w:tr>
    </w:tbl>
    <w:p>
      <w:pPr>
        <w:outlineLvl w:val="0"/>
        <w:rPr>
          <w:rFonts w:eastAsia="黑体"/>
          <w:color w:val="000000"/>
          <w:sz w:val="24"/>
        </w:rPr>
      </w:pPr>
      <w:r>
        <w:rPr>
          <w:color w:val="000000"/>
          <w:sz w:val="24"/>
        </w:rPr>
        <w:br w:type="page"/>
      </w:r>
      <w:r>
        <w:rPr>
          <w:color w:val="000000"/>
          <w:sz w:val="24"/>
        </w:rPr>
        <w:t>6、</w:t>
      </w:r>
      <w:r>
        <w:rPr>
          <w:b/>
          <w:color w:val="000000"/>
          <w:sz w:val="24"/>
        </w:rPr>
        <w:t>建设项目工程分析</w:t>
      </w:r>
    </w:p>
    <w:tbl>
      <w:tblPr>
        <w:tblStyle w:val="33"/>
        <w:tblW w:w="8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Layout w:type="fixed"/>
        <w:tblCellMar>
          <w:top w:w="0" w:type="dxa"/>
          <w:left w:w="108" w:type="dxa"/>
          <w:bottom w:w="0" w:type="dxa"/>
          <w:right w:w="108" w:type="dxa"/>
        </w:tblCellMar>
      </w:tblPr>
      <w:tblGrid>
        <w:gridCol w:w="8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8" w:space="0"/>
          </w:tblBorders>
          <w:tblLayout w:type="fixed"/>
          <w:tblCellMar>
            <w:top w:w="0" w:type="dxa"/>
            <w:left w:w="108" w:type="dxa"/>
            <w:bottom w:w="0" w:type="dxa"/>
            <w:right w:w="108" w:type="dxa"/>
          </w:tblCellMar>
        </w:tblPrEx>
        <w:trPr>
          <w:trHeight w:val="416" w:hRule="atLeast"/>
        </w:trPr>
        <w:tc>
          <w:tcPr>
            <w:tcW w:w="8776" w:type="dxa"/>
            <w:vAlign w:val="top"/>
          </w:tcPr>
          <w:p>
            <w:pPr>
              <w:spacing w:line="360" w:lineRule="auto"/>
              <w:rPr>
                <w:b/>
                <w:color w:val="000000"/>
                <w:sz w:val="24"/>
              </w:rPr>
            </w:pPr>
            <w:r>
              <w:rPr>
                <w:b/>
                <w:color w:val="000000"/>
                <w:sz w:val="24"/>
              </w:rPr>
              <w:t>6.1、工艺流程简述（图示）：</w:t>
            </w:r>
          </w:p>
          <w:p>
            <w:pPr>
              <w:spacing w:line="360" w:lineRule="auto"/>
              <w:rPr>
                <w:color w:val="000000"/>
                <w:sz w:val="24"/>
              </w:rPr>
            </w:pPr>
            <w:r>
              <w:rPr>
                <w:sz w:val="24"/>
              </w:rPr>
              <w:drawing>
                <wp:inline distT="0" distB="0" distL="114300" distR="114300">
                  <wp:extent cx="5429885" cy="2299970"/>
                  <wp:effectExtent l="0" t="0" r="10795" b="1270"/>
                  <wp:docPr id="1" name="图片 1" descr="QQ截图2015082715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50827153425"/>
                          <pic:cNvPicPr>
                            <a:picLocks noChangeAspect="1"/>
                          </pic:cNvPicPr>
                        </pic:nvPicPr>
                        <pic:blipFill>
                          <a:blip r:embed="rId9"/>
                          <a:srcRect/>
                          <a:stretch>
                            <a:fillRect/>
                          </a:stretch>
                        </pic:blipFill>
                        <pic:spPr>
                          <a:xfrm>
                            <a:off x="0" y="0"/>
                            <a:ext cx="5429885" cy="2299970"/>
                          </a:xfrm>
                          <a:prstGeom prst="rect">
                            <a:avLst/>
                          </a:prstGeom>
                          <a:noFill/>
                          <a:ln w="9525">
                            <a:noFill/>
                            <a:miter/>
                          </a:ln>
                        </pic:spPr>
                      </pic:pic>
                    </a:graphicData>
                  </a:graphic>
                </wp:inline>
              </w:drawing>
            </w:r>
          </w:p>
          <w:p>
            <w:pPr>
              <w:spacing w:line="360" w:lineRule="auto"/>
              <w:jc w:val="center"/>
              <w:rPr>
                <w:b/>
                <w:color w:val="000000"/>
                <w:sz w:val="24"/>
              </w:rPr>
            </w:pPr>
            <w:r>
              <w:rPr>
                <w:b/>
                <w:sz w:val="24"/>
              </w:rPr>
              <w:t>图6-1 本项目工艺流程图及产污环节</w:t>
            </w:r>
          </w:p>
          <w:p>
            <w:pPr>
              <w:spacing w:line="360" w:lineRule="auto"/>
              <w:ind w:firstLine="480"/>
              <w:rPr>
                <w:rFonts w:hint="eastAsia"/>
                <w:color w:val="000000"/>
                <w:sz w:val="24"/>
              </w:rPr>
            </w:pPr>
          </w:p>
          <w:p>
            <w:pPr>
              <w:spacing w:line="360" w:lineRule="auto"/>
              <w:ind w:firstLine="480"/>
              <w:rPr>
                <w:rFonts w:hint="eastAsia"/>
                <w:color w:val="000000"/>
                <w:sz w:val="24"/>
              </w:rPr>
            </w:pPr>
            <w:r>
              <w:rPr>
                <w:color w:val="000000"/>
                <w:sz w:val="24"/>
              </w:rPr>
              <w:t>本项目结合现代物流发展趋势</w:t>
            </w:r>
            <w:r>
              <w:rPr>
                <w:rFonts w:hint="eastAsia"/>
                <w:color w:val="000000"/>
                <w:sz w:val="24"/>
              </w:rPr>
              <w:t>，</w:t>
            </w:r>
            <w:r>
              <w:rPr>
                <w:color w:val="000000"/>
                <w:sz w:val="24"/>
              </w:rPr>
              <w:t>拟以</w:t>
            </w:r>
            <w:r>
              <w:rPr>
                <w:sz w:val="24"/>
              </w:rPr>
              <w:t>服装鞋帽、婴儿用品、食品、化妆品、汽车用品、珠宝、书籍、乐器</w:t>
            </w:r>
            <w:r>
              <w:rPr>
                <w:color w:val="000000"/>
                <w:sz w:val="24"/>
              </w:rPr>
              <w:t>等为服务品类，以上游的产品生产基地、生产大户，下游的超级市场、大型综合超市、便利店、电子购物网站、农贸超市，以及机关企事业单位等终端消费群为服务对象，建成以百货商品交易、配送、仓储为基础的物流配送中心的信息服务中心。本项目主要作业与运营流程包括仓储打包、检验检测、配送服务。</w:t>
            </w:r>
          </w:p>
          <w:p>
            <w:pPr>
              <w:spacing w:line="360" w:lineRule="auto"/>
              <w:ind w:firstLine="480"/>
              <w:rPr>
                <w:rFonts w:hint="eastAsia"/>
                <w:color w:val="000000"/>
                <w:sz w:val="24"/>
              </w:rPr>
            </w:pPr>
            <w:r>
              <w:rPr>
                <w:color w:val="000000"/>
                <w:sz w:val="24"/>
              </w:rPr>
              <w:t>项目</w:t>
            </w:r>
            <w:r>
              <w:rPr>
                <w:rFonts w:hint="eastAsia"/>
                <w:color w:val="000000"/>
                <w:sz w:val="24"/>
              </w:rPr>
              <w:t>地块北部及</w:t>
            </w:r>
            <w:r>
              <w:rPr>
                <w:color w:val="000000"/>
                <w:sz w:val="24"/>
              </w:rPr>
              <w:t>西南侧</w:t>
            </w:r>
            <w:r>
              <w:rPr>
                <w:rFonts w:hint="eastAsia"/>
                <w:color w:val="000000"/>
                <w:sz w:val="24"/>
              </w:rPr>
              <w:t>为</w:t>
            </w:r>
            <w:r>
              <w:rPr>
                <w:color w:val="000000"/>
                <w:sz w:val="24"/>
              </w:rPr>
              <w:t>研发</w:t>
            </w:r>
            <w:r>
              <w:rPr>
                <w:rFonts w:hint="eastAsia"/>
                <w:color w:val="000000"/>
                <w:sz w:val="24"/>
              </w:rPr>
              <w:t>办公</w:t>
            </w:r>
            <w:r>
              <w:rPr>
                <w:color w:val="000000"/>
                <w:sz w:val="24"/>
              </w:rPr>
              <w:t>区，主要进行物流交易、配送、仓储等专业软件系统研发，该部分主要</w:t>
            </w:r>
            <w:r>
              <w:rPr>
                <w:rFonts w:hint="eastAsia"/>
                <w:color w:val="000000"/>
                <w:sz w:val="24"/>
              </w:rPr>
              <w:t>功能</w:t>
            </w:r>
            <w:r>
              <w:rPr>
                <w:color w:val="000000"/>
                <w:sz w:val="24"/>
              </w:rPr>
              <w:t>为办公研发</w:t>
            </w:r>
            <w:r>
              <w:rPr>
                <w:rFonts w:hint="eastAsia"/>
                <w:color w:val="000000"/>
                <w:sz w:val="24"/>
              </w:rPr>
              <w:t>、数据中心、维修及资料库</w:t>
            </w:r>
            <w:r>
              <w:rPr>
                <w:color w:val="000000"/>
                <w:sz w:val="24"/>
              </w:rPr>
              <w:t>，</w:t>
            </w:r>
            <w:r>
              <w:rPr>
                <w:rFonts w:hint="eastAsia"/>
                <w:color w:val="000000"/>
                <w:sz w:val="24"/>
              </w:rPr>
              <w:t>以云服务为构架，打造专业协同型供应链，建立资源共享型管理模式，创建功能复合型服务集成的物流信息技术服务平台。</w:t>
            </w:r>
          </w:p>
          <w:p>
            <w:pPr>
              <w:spacing w:line="360" w:lineRule="auto"/>
              <w:ind w:firstLine="480"/>
              <w:rPr>
                <w:color w:val="000000"/>
                <w:sz w:val="24"/>
              </w:rPr>
            </w:pPr>
            <w:r>
              <w:rPr>
                <w:rFonts w:hint="eastAsia"/>
                <w:color w:val="000000"/>
                <w:sz w:val="24"/>
              </w:rPr>
              <w:t>具体研发方向及流程可以描述为：以LES系统、运输监控平台为基础，融合WMS\TMS\GPS\RFID\GIS等信息技术，实现物流全流程信息化的管理。</w:t>
            </w:r>
          </w:p>
          <w:p>
            <w:pPr>
              <w:spacing w:line="360" w:lineRule="auto"/>
              <w:ind w:firstLine="480"/>
              <w:rPr>
                <w:color w:val="000000"/>
                <w:sz w:val="24"/>
              </w:rPr>
            </w:pPr>
            <w:r>
              <w:rPr>
                <w:rFonts w:hint="eastAsia" w:ascii="宋体" w:hAnsi="宋体"/>
                <w:color w:val="000000"/>
                <w:sz w:val="24"/>
              </w:rPr>
              <w:t>①</w:t>
            </w:r>
            <w:r>
              <w:rPr>
                <w:rFonts w:hint="eastAsia"/>
                <w:color w:val="000000"/>
                <w:sz w:val="24"/>
              </w:rPr>
              <w:t>以LES系统为核心的物流基础信息平台包含订单管理、仓库管理、运输管理和财务管理四大模块，从物流订单的承接到财务结算，形成一个完整的闭环管理链条。仓库管理模块基于WMS系统，对商品到货预约、收货、上架、拣选、包装、装运交接、库存盘点、不良品管理、单品管理、门店仓库管理进行详细分析和规划；运输管理模块包括运力分析、任务管理、车辆调度、干线管理、“最后一公里”、承运商管理、销单管理、事件管理等；订单和财务管理将制定完整的服务定价模型和财务核算模型，为客户提供值得信赖的服务产品价格，为决策层提供可参考的物流成本控制方案。</w:t>
            </w:r>
          </w:p>
          <w:p>
            <w:pPr>
              <w:spacing w:line="360" w:lineRule="auto"/>
              <w:ind w:firstLine="480"/>
              <w:rPr>
                <w:color w:val="000000"/>
                <w:sz w:val="24"/>
              </w:rPr>
            </w:pPr>
            <w:r>
              <w:rPr>
                <w:rFonts w:hint="eastAsia" w:ascii="宋体" w:hAnsi="宋体"/>
                <w:color w:val="000000"/>
                <w:sz w:val="24"/>
              </w:rPr>
              <w:t>②研发</w:t>
            </w:r>
            <w:r>
              <w:rPr>
                <w:rFonts w:hint="eastAsia"/>
                <w:color w:val="000000"/>
                <w:sz w:val="24"/>
              </w:rPr>
              <w:t>运输监控平台将集成车载</w:t>
            </w:r>
            <w:r>
              <w:rPr>
                <w:color w:val="000000"/>
                <w:sz w:val="24"/>
              </w:rPr>
              <w:t>GPS</w:t>
            </w:r>
            <w:r>
              <w:rPr>
                <w:rFonts w:hint="eastAsia"/>
                <w:color w:val="000000"/>
                <w:sz w:val="24"/>
              </w:rPr>
              <w:t>、</w:t>
            </w:r>
            <w:r>
              <w:rPr>
                <w:color w:val="000000"/>
                <w:sz w:val="24"/>
              </w:rPr>
              <w:t>GIS</w:t>
            </w:r>
            <w:r>
              <w:rPr>
                <w:rFonts w:hint="eastAsia"/>
                <w:color w:val="000000"/>
                <w:sz w:val="24"/>
              </w:rPr>
              <w:t>地图引擎等工具，实现对物流运输环节的全过程监控以及运输作业的准时化管理。除此之外，运输监控平台还规划了作业报表、车辆油耗监控、决策建议等功能。</w:t>
            </w:r>
          </w:p>
          <w:p>
            <w:pPr>
              <w:spacing w:line="360" w:lineRule="auto"/>
              <w:ind w:firstLine="480"/>
              <w:rPr>
                <w:rFonts w:ascii="宋体" w:hAnsi="宋体"/>
                <w:color w:val="000000"/>
                <w:sz w:val="24"/>
              </w:rPr>
            </w:pPr>
            <w:r>
              <w:rPr>
                <w:rFonts w:hint="eastAsia" w:ascii="宋体" w:hAnsi="宋体"/>
                <w:color w:val="000000"/>
                <w:sz w:val="24"/>
              </w:rPr>
              <w:t>本项目物流信息技术平台将面向供应链上下游和社会客户全面开放，提供专业化的信息服务，使苏宁物流的运作全程可视化、智能化、交互化，成为城市共同配送的公共信息服务平台。同时承担城市配送中心、区域配送中心及B2C配送中心的功能。辐射全国范围内的干线调拨、江苏省境内二、三级市场长途调拨业务及南京门店短拨、同城零售配送各和快递等业务，同时也将承担起网购小件商品的集中存储与全国调拨功能。</w:t>
            </w:r>
          </w:p>
          <w:p>
            <w:pPr>
              <w:spacing w:line="360" w:lineRule="auto"/>
              <w:ind w:firstLine="480"/>
              <w:rPr>
                <w:rFonts w:hint="eastAsia"/>
                <w:color w:val="000000"/>
                <w:sz w:val="24"/>
              </w:rPr>
            </w:pPr>
            <w:r>
              <w:rPr>
                <w:rFonts w:hint="eastAsia" w:ascii="宋体" w:hAnsi="宋体"/>
                <w:color w:val="000000"/>
                <w:sz w:val="24"/>
              </w:rPr>
              <w:t>本项目研发办公</w:t>
            </w:r>
            <w:r>
              <w:rPr>
                <w:color w:val="000000"/>
                <w:sz w:val="24"/>
              </w:rPr>
              <w:t>无生产工艺流程</w:t>
            </w:r>
            <w:r>
              <w:rPr>
                <w:rFonts w:hint="eastAsia"/>
                <w:color w:val="000000"/>
                <w:sz w:val="24"/>
              </w:rPr>
              <w:t>，研发设备以台式电脑、打印机等办公设备为主，不设置食堂</w:t>
            </w:r>
            <w:r>
              <w:rPr>
                <w:color w:val="000000"/>
                <w:sz w:val="24"/>
              </w:rPr>
              <w:t>。</w:t>
            </w:r>
          </w:p>
          <w:p>
            <w:pPr>
              <w:spacing w:line="360" w:lineRule="auto"/>
              <w:ind w:firstLine="480"/>
              <w:rPr>
                <w:sz w:val="24"/>
              </w:rPr>
            </w:pPr>
            <w:r>
              <w:rPr>
                <w:sz w:val="24"/>
              </w:rPr>
              <w:t>营运期作业流程及产污环节见图6-2。</w:t>
            </w:r>
          </w:p>
          <w:p>
            <w:pPr>
              <w:spacing w:line="360" w:lineRule="auto"/>
              <w:jc w:val="center"/>
              <w:rPr>
                <w:color w:val="000000"/>
                <w:sz w:val="24"/>
              </w:rPr>
            </w:pPr>
            <w:r>
              <w:object>
                <v:shape id="_x0000_i1026" o:spt="75" type="#_x0000_t75" style="height:297.75pt;width:337.45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6" DrawAspect="Content" ObjectID="_1468075725" r:id="rId10"/>
              </w:object>
            </w:r>
          </w:p>
          <w:p>
            <w:pPr>
              <w:spacing w:line="360" w:lineRule="auto"/>
              <w:jc w:val="center"/>
              <w:rPr>
                <w:b/>
                <w:color w:val="000000"/>
                <w:sz w:val="24"/>
              </w:rPr>
            </w:pPr>
            <w:r>
              <w:rPr>
                <w:b/>
                <w:sz w:val="24"/>
              </w:rPr>
              <w:t>图6-2 营运期作业工艺流程图及产污环节</w:t>
            </w:r>
          </w:p>
          <w:p>
            <w:pPr>
              <w:spacing w:line="360" w:lineRule="auto"/>
              <w:ind w:firstLine="480" w:firstLineChars="200"/>
              <w:rPr>
                <w:color w:val="000000"/>
                <w:sz w:val="24"/>
              </w:rPr>
            </w:pPr>
            <w:r>
              <w:rPr>
                <w:color w:val="000000"/>
                <w:sz w:val="24"/>
              </w:rPr>
              <w:t>作业流程介绍：</w:t>
            </w:r>
          </w:p>
          <w:p>
            <w:pPr>
              <w:spacing w:line="360" w:lineRule="auto"/>
              <w:ind w:firstLine="480" w:firstLineChars="200"/>
              <w:rPr>
                <w:color w:val="000000"/>
                <w:sz w:val="24"/>
              </w:rPr>
            </w:pPr>
            <w:r>
              <w:rPr>
                <w:color w:val="000000"/>
                <w:sz w:val="24"/>
              </w:rPr>
              <w:t>（1）仓储</w:t>
            </w:r>
          </w:p>
          <w:p>
            <w:pPr>
              <w:spacing w:line="360" w:lineRule="auto"/>
              <w:ind w:firstLine="480" w:firstLineChars="200"/>
              <w:rPr>
                <w:color w:val="000000"/>
                <w:sz w:val="24"/>
              </w:rPr>
            </w:pPr>
            <w:r>
              <w:rPr>
                <w:color w:val="000000"/>
                <w:sz w:val="24"/>
              </w:rPr>
              <w:t>由项目单位、其他物流配送公司、社会车辆等将商品从供货商及生产基地运抵物流中心，运货车辆进入物流中心停车位行驶时产生汽车尾气G1。本物流中心对货物进行集中调度和管理。本项目不设冷库，</w:t>
            </w:r>
            <w:r>
              <w:rPr>
                <w:rFonts w:hint="eastAsia"/>
                <w:color w:val="000000"/>
                <w:sz w:val="24"/>
              </w:rPr>
              <w:t>2号</w:t>
            </w:r>
            <w:r>
              <w:rPr>
                <w:color w:val="000000"/>
                <w:sz w:val="24"/>
              </w:rPr>
              <w:t>仓库</w:t>
            </w:r>
            <w:r>
              <w:rPr>
                <w:rFonts w:hint="eastAsia"/>
                <w:color w:val="000000"/>
                <w:sz w:val="24"/>
              </w:rPr>
              <w:t>设有5000m</w:t>
            </w:r>
            <w:r>
              <w:rPr>
                <w:rFonts w:hint="eastAsia"/>
                <w:color w:val="000000"/>
                <w:sz w:val="24"/>
                <w:vertAlign w:val="superscript"/>
              </w:rPr>
              <w:t>2</w:t>
            </w:r>
            <w:r>
              <w:rPr>
                <w:rFonts w:hint="eastAsia"/>
                <w:color w:val="000000"/>
                <w:sz w:val="24"/>
              </w:rPr>
              <w:t>的恒温库（温度保持在15~25</w:t>
            </w:r>
            <w:r>
              <w:rPr>
                <w:rFonts w:hint="eastAsia" w:ascii="宋体" w:hAnsi="宋体" w:cs="宋体"/>
                <w:color w:val="000000"/>
                <w:sz w:val="24"/>
              </w:rPr>
              <w:t>℃</w:t>
            </w:r>
            <w:r>
              <w:rPr>
                <w:rFonts w:hint="eastAsia"/>
                <w:color w:val="000000"/>
                <w:sz w:val="24"/>
              </w:rPr>
              <w:t>），</w:t>
            </w:r>
            <w:r>
              <w:rPr>
                <w:color w:val="000000"/>
                <w:sz w:val="24"/>
              </w:rPr>
              <w:t>采取中央空调</w:t>
            </w:r>
            <w:r>
              <w:rPr>
                <w:rFonts w:hint="eastAsia"/>
                <w:color w:val="000000"/>
                <w:sz w:val="24"/>
              </w:rPr>
              <w:t>保持温度</w:t>
            </w:r>
            <w:r>
              <w:rPr>
                <w:color w:val="000000"/>
                <w:sz w:val="24"/>
              </w:rPr>
              <w:t>，不使用制冷剂。</w:t>
            </w:r>
          </w:p>
          <w:p>
            <w:pPr>
              <w:spacing w:line="360" w:lineRule="auto"/>
              <w:ind w:firstLine="480" w:firstLineChars="200"/>
              <w:rPr>
                <w:color w:val="000000"/>
                <w:sz w:val="24"/>
              </w:rPr>
            </w:pPr>
            <w:r>
              <w:rPr>
                <w:color w:val="000000"/>
                <w:sz w:val="24"/>
              </w:rPr>
              <w:t>根据产品配送需要，部分商品需要进行分包加工，本项目分包加工不涉及初加工和清洗，主要根据配送服务对象需求，将运抵到场的商品分装成相应重量的货物或者集中装箱、装袋，此过程将产生一定量废包装S1。</w:t>
            </w:r>
          </w:p>
          <w:p>
            <w:pPr>
              <w:spacing w:line="360" w:lineRule="auto"/>
              <w:ind w:firstLine="480" w:firstLineChars="200"/>
              <w:rPr>
                <w:color w:val="000000"/>
                <w:sz w:val="24"/>
              </w:rPr>
            </w:pPr>
            <w:r>
              <w:rPr>
                <w:color w:val="000000"/>
                <w:sz w:val="24"/>
              </w:rPr>
              <w:t>（2）配送服务</w:t>
            </w:r>
          </w:p>
          <w:p>
            <w:pPr>
              <w:spacing w:line="360" w:lineRule="auto"/>
              <w:ind w:firstLine="480" w:firstLineChars="200"/>
              <w:rPr>
                <w:rFonts w:hint="eastAsia"/>
                <w:color w:val="000000"/>
                <w:sz w:val="24"/>
              </w:rPr>
            </w:pPr>
            <w:r>
              <w:rPr>
                <w:color w:val="000000"/>
                <w:sz w:val="24"/>
              </w:rPr>
              <w:t>本项目信息中心根据订单，安排配送作业，将商品送达客户或公共货运中心。根据95万吨的预计配送量，收货车辆以采购入库190辆/天；中转、调拨、退货入库64辆/天；快递入库160辆/天计，发货车辆按本市配送235辆/天、外市配送170辆/天计。本项目物流配送力量将由项目单位、其他物流配送公司、社会车辆等组成。配送车辆驶离停车位怠速行驶时产生汽车尾气G2。</w:t>
            </w:r>
          </w:p>
          <w:p>
            <w:pPr>
              <w:spacing w:line="360" w:lineRule="auto"/>
              <w:ind w:firstLine="540" w:firstLineChars="225"/>
              <w:rPr>
                <w:sz w:val="24"/>
              </w:rPr>
            </w:pPr>
            <w:r>
              <w:rPr>
                <w:rFonts w:hint="eastAsia"/>
                <w:sz w:val="24"/>
              </w:rPr>
              <w:t>本项目物流仓储采用了诸多货物分拣自动化等先进理念：首先，借助SCS旋转库货到人的拣选方式，使得的拣选效率实现了飞跃，是传统拣选方式的10倍以上；其次，自动化设备包括SCS BUFFER以及交叉带分拣机的运用，简化了装车前的集货等待环节，可实现装车前的自动排序，从而节省了大量装车时间；最后，借助于库内自动化设备包括SCS旋转货架、A字架、KDR流利式货架、Miniload料箱自动高架库以及ASRS自动高架库的能力，从库内出来的料箱是以最终的快递点进行装箱打包，减少了配送中间环节的二次分拨，极大提高了物流网络运行时效，同时，由于中间环节的减少，也降低了货损率、差错率的发生。各类自动化设备的运用，将会极大缩短库内订单周转时间，预计从拣配任务下方到可以进行装车发货时间将会缩短到平均40min，最大不超过2小时，使得仓库能够更加快速响应客户需求。</w:t>
            </w:r>
          </w:p>
          <w:p>
            <w:pPr>
              <w:spacing w:line="360" w:lineRule="auto"/>
              <w:ind w:firstLine="540" w:firstLineChars="225"/>
              <w:rPr>
                <w:sz w:val="24"/>
              </w:rPr>
            </w:pPr>
            <w:r>
              <w:rPr>
                <w:rFonts w:hint="eastAsia"/>
                <w:sz w:val="24"/>
              </w:rPr>
              <w:t>1、SCS旋转库系统</w:t>
            </w:r>
          </w:p>
          <w:p>
            <w:pPr>
              <w:spacing w:line="360" w:lineRule="auto"/>
              <w:ind w:firstLine="540" w:firstLineChars="225"/>
              <w:rPr>
                <w:sz w:val="24"/>
              </w:rPr>
            </w:pPr>
            <w:r>
              <w:rPr>
                <w:rFonts w:hint="eastAsia"/>
                <w:sz w:val="24"/>
              </w:rPr>
              <w:t>SCS 是一种高度动态而且完全自动仓储系统，带有分离的自动储存和取回装置。首先，通过SCS旋转货架作为库内存拣设备，能够达到每个单体250箱/小时的出入库效率，配合货到人拣选工作站，实现高效拣选。SCS 可以提供非常高的储存密度，几乎能够处理所有类型的物品；其次，SCS货架配合供应商先进的WCS控制系统，能够实现对产品的自动追踪、监控，并对产品进行排序，具有相同属性的产品，系统会自动排序并集中存储，需要时系统会自动控制这一批货物同时从SCS内出库，利用SCS的这个特性，本项目在发货端利用SCS buffer进行自动排序、缓存，从而简化装车前的等待以及人工分货，节省大量的装车时间。利用SCS系统可以实现高达每天 28万次出入库。在拣选效率方面可以达到14,000次拣选／小时的能力。</w:t>
            </w:r>
          </w:p>
          <w:p>
            <w:pPr>
              <w:spacing w:line="360" w:lineRule="auto"/>
              <w:ind w:firstLine="540" w:firstLineChars="225"/>
              <w:rPr>
                <w:sz w:val="24"/>
              </w:rPr>
            </w:pPr>
            <w:bookmarkStart w:id="3" w:name="_Toc362535918"/>
            <w:bookmarkStart w:id="4" w:name="_Toc362611002"/>
            <w:r>
              <w:rPr>
                <w:rFonts w:hint="eastAsia"/>
                <w:sz w:val="24"/>
              </w:rPr>
              <w:t>2、自动托盘堆垛</w:t>
            </w:r>
            <w:bookmarkEnd w:id="3"/>
            <w:bookmarkEnd w:id="4"/>
            <w:r>
              <w:rPr>
                <w:rFonts w:hint="eastAsia"/>
                <w:sz w:val="24"/>
              </w:rPr>
              <w:t>系统</w:t>
            </w:r>
          </w:p>
          <w:p>
            <w:pPr>
              <w:spacing w:line="360" w:lineRule="auto"/>
              <w:ind w:firstLine="540" w:firstLineChars="225"/>
              <w:rPr>
                <w:sz w:val="24"/>
              </w:rPr>
            </w:pPr>
            <w:r>
              <w:rPr>
                <w:rFonts w:hint="eastAsia"/>
                <w:sz w:val="24"/>
              </w:rPr>
              <w:t xml:space="preserve">托盘堆垛机是专为存取完整的装载单元而设计的，技术能力最大为每小时出入库各100个托盘。通过每一个设施适合的负载处理单元来进行存取。本项目利用高架库的高密度存储特性，作为中件整拖以及小件大批量商品的主要存储系统，配合先进的wcs控制系统，利用自动堆垛机进行托盘出入库操作，从而实现整托盘、大批量商品的自动化存储、出库以及商品管理，具有高可靠性、高灵活性、最短的运送和完成时间表、节能、高效的空间利用率的特点。 </w:t>
            </w:r>
          </w:p>
          <w:p>
            <w:pPr>
              <w:spacing w:line="360" w:lineRule="auto"/>
              <w:ind w:firstLine="540" w:firstLineChars="225"/>
              <w:rPr>
                <w:sz w:val="24"/>
              </w:rPr>
            </w:pPr>
            <w:bookmarkStart w:id="5" w:name="_Toc362535919"/>
            <w:bookmarkStart w:id="6" w:name="_Toc362611003"/>
            <w:r>
              <w:rPr>
                <w:rFonts w:hint="eastAsia"/>
                <w:sz w:val="24"/>
              </w:rPr>
              <w:t>3、Miniload高密度自动箱式堆垛机</w:t>
            </w:r>
            <w:bookmarkEnd w:id="5"/>
            <w:bookmarkEnd w:id="6"/>
          </w:p>
          <w:p>
            <w:pPr>
              <w:spacing w:line="360" w:lineRule="auto"/>
              <w:ind w:firstLine="540" w:firstLineChars="225"/>
              <w:rPr>
                <w:sz w:val="24"/>
              </w:rPr>
            </w:pPr>
            <w:r>
              <w:rPr>
                <w:rFonts w:hint="eastAsia"/>
                <w:sz w:val="24"/>
              </w:rPr>
              <w:t>Miniload自动堆垛机系统的是为存取周转箱和硬纸箱而设计的。这个设备在一个地板轨道上移动，由一个有间距带的可靠的 Omega 驱动器来驱动，最后通过一个附在货架顶部区域的轨道进行引导。该区域的堆垛机存取操作主要通过一个感应装置或抓和攥推装置来实现。</w:t>
            </w:r>
          </w:p>
          <w:p>
            <w:pPr>
              <w:spacing w:line="360" w:lineRule="auto"/>
              <w:ind w:firstLine="540" w:firstLineChars="225"/>
              <w:rPr>
                <w:sz w:val="24"/>
              </w:rPr>
            </w:pPr>
            <w:r>
              <w:rPr>
                <w:rFonts w:hint="eastAsia"/>
                <w:sz w:val="24"/>
              </w:rPr>
              <w:t>类似AS/RS自动托盘堆垛系统，Miniload自动箱式堆垛系统也是一个高密度自动存储系统，主要用于小件料箱和硬纸箱的存储、补货。配合WCS控制系统，实现Miniload系统内商品的自动化存取，整个系统不需要人工操作，完全由系统进行控制，极大的降低了人工成本且减少商品出错率。</w:t>
            </w:r>
          </w:p>
          <w:p>
            <w:pPr>
              <w:spacing w:line="360" w:lineRule="auto"/>
              <w:ind w:firstLine="540" w:firstLineChars="225"/>
              <w:rPr>
                <w:sz w:val="24"/>
              </w:rPr>
            </w:pPr>
            <w:r>
              <w:rPr>
                <w:rFonts w:hint="eastAsia"/>
                <w:sz w:val="24"/>
              </w:rPr>
              <w:t>南京二期第一阶段包括12台自动化化箱式堆垛机系统，338400个料箱存储位，整个货架高22m，能够实现最大出入库各1700箱/小时，能够实现每天45万件商品的补货出库功能。</w:t>
            </w:r>
          </w:p>
          <w:p>
            <w:pPr>
              <w:spacing w:line="360" w:lineRule="auto"/>
              <w:ind w:firstLine="540" w:firstLineChars="225"/>
              <w:rPr>
                <w:sz w:val="24"/>
              </w:rPr>
            </w:pPr>
            <w:bookmarkStart w:id="7" w:name="_Toc362535921"/>
            <w:bookmarkStart w:id="8" w:name="_Toc362611005"/>
            <w:r>
              <w:rPr>
                <w:rFonts w:hint="eastAsia"/>
                <w:sz w:val="24"/>
              </w:rPr>
              <w:t>4、A-frame自动拣选设备</w:t>
            </w:r>
            <w:bookmarkEnd w:id="7"/>
            <w:bookmarkEnd w:id="8"/>
          </w:p>
          <w:p>
            <w:pPr>
              <w:spacing w:line="360" w:lineRule="auto"/>
              <w:ind w:firstLine="540" w:firstLineChars="225"/>
              <w:rPr>
                <w:sz w:val="24"/>
              </w:rPr>
            </w:pPr>
            <w:r>
              <w:rPr>
                <w:rFonts w:hint="eastAsia"/>
                <w:sz w:val="24"/>
              </w:rPr>
              <w:t>A-frame是一种自动拣货系统，具有高速的物品处理能力（每小时能够拣选1600箱小件商品）。A-frame设有通道，通道安装在收集皮带的左侧和右侧，A-frame通道采用串行控制，即每层（左侧或右侧）只有一个分配器可以在一次操作中被激活。当需分配产品时，相应的通道将被激活，从而使产品掉落到集料皮带上。本项目内A-frame会配置两个自动化填充点，集料皮带上的产品会自动输送到填充点位置预先自动补给好的带订单周转箱，并掉落到料箱内，料箱自动输送到其它区域进行下一步处理。</w:t>
            </w:r>
          </w:p>
          <w:p>
            <w:pPr>
              <w:spacing w:line="360" w:lineRule="auto"/>
              <w:ind w:firstLine="540" w:firstLineChars="225"/>
              <w:rPr>
                <w:sz w:val="24"/>
              </w:rPr>
            </w:pPr>
            <w:r>
              <w:rPr>
                <w:rFonts w:hint="eastAsia"/>
                <w:sz w:val="24"/>
              </w:rPr>
              <w:t>A-frame的整个过程为自动化系统控制处理，由于消除了耗时的人工拣选活动从而获得高收益，并且持续的高质量和可靠性使得它即使在峰值时也能确保高产量，另外由于A-frame货架高产品密度存储从而获得了高效的利用空间。</w:t>
            </w:r>
          </w:p>
          <w:p>
            <w:pPr>
              <w:spacing w:line="360" w:lineRule="auto"/>
              <w:ind w:firstLine="540" w:firstLineChars="225"/>
              <w:rPr>
                <w:sz w:val="24"/>
              </w:rPr>
            </w:pPr>
            <w:r>
              <w:rPr>
                <w:rFonts w:hint="eastAsia"/>
                <w:sz w:val="24"/>
              </w:rPr>
              <w:t>5、自动交叉带分拣机</w:t>
            </w:r>
          </w:p>
          <w:p>
            <w:pPr>
              <w:spacing w:line="360" w:lineRule="auto"/>
              <w:ind w:firstLine="540" w:firstLineChars="225"/>
              <w:rPr>
                <w:sz w:val="24"/>
              </w:rPr>
            </w:pPr>
            <w:r>
              <w:rPr>
                <w:rFonts w:hint="eastAsia"/>
                <w:sz w:val="24"/>
              </w:rPr>
              <w:t>本项目配备了两套自动化交叉带分拣设备，分别为包裹分拣机和发货分拣机。首先，包裹分拣机用于快递包裹以及做好顾客包裹的小件拆零产品的分拣。通过12个人工供件台，将包裹投放到分拣机上，分拣机自动扫描包裹上条码识别目的地，并自动在相应目的地道口弹出进行运输料箱装箱操作后，通过输送线送到下一个区域进行下一步操作。包裹分拣机能够实现1.8万包裹/小时的分拣能力，整套分拣机配备600个目的地道口，利用分拣机系统取代了传统的人工投快递点操作，极大的降低人工成本并提升了分拣效率；其次，发货分拣机用于做好运输箱的商品按照路线进行分拣。发货分拣机会自动扫描运输箱条码，识别条码目的地城市，并分配到相应的线路道口。本项目发货分拣机能达到1.8万箱/小时的分拣能力，配备了48个目的地道口，实现运输箱的自动分拣，极大的提升了分拣效率。</w:t>
            </w:r>
          </w:p>
          <w:p>
            <w:pPr>
              <w:spacing w:line="360" w:lineRule="auto"/>
              <w:rPr>
                <w:b/>
                <w:color w:val="000000"/>
                <w:sz w:val="24"/>
              </w:rPr>
            </w:pPr>
            <w:r>
              <w:rPr>
                <w:b/>
                <w:color w:val="000000"/>
                <w:sz w:val="24"/>
              </w:rPr>
              <w:t>6.2、主要污染工序：</w:t>
            </w:r>
          </w:p>
          <w:p>
            <w:pPr>
              <w:spacing w:line="360" w:lineRule="auto"/>
              <w:ind w:firstLine="480" w:firstLineChars="200"/>
              <w:rPr>
                <w:sz w:val="24"/>
              </w:rPr>
            </w:pPr>
            <w:r>
              <w:rPr>
                <w:sz w:val="24"/>
              </w:rPr>
              <w:t>污染主要分为施工期和运营期。</w:t>
            </w:r>
          </w:p>
          <w:p>
            <w:pPr>
              <w:spacing w:line="360" w:lineRule="auto"/>
              <w:rPr>
                <w:b/>
                <w:spacing w:val="6"/>
                <w:sz w:val="24"/>
              </w:rPr>
            </w:pPr>
            <w:r>
              <w:rPr>
                <w:b/>
                <w:spacing w:val="6"/>
                <w:sz w:val="24"/>
              </w:rPr>
              <w:t>一</w:t>
            </w:r>
            <w:r>
              <w:rPr>
                <w:sz w:val="24"/>
              </w:rPr>
              <w:t>、施工期</w:t>
            </w:r>
          </w:p>
          <w:p>
            <w:pPr>
              <w:spacing w:line="360" w:lineRule="auto"/>
              <w:rPr>
                <w:rFonts w:hint="eastAsia"/>
                <w:sz w:val="24"/>
              </w:rPr>
            </w:pPr>
            <w:r>
              <w:rPr>
                <w:sz w:val="24"/>
              </w:rPr>
              <w:t xml:space="preserve">  </w:t>
            </w:r>
            <w:r>
              <w:rPr>
                <w:rFonts w:hint="eastAsia"/>
                <w:sz w:val="24"/>
              </w:rPr>
              <w:t>根据现场勘查，建设项目仓储物流区主体工程已基本建成，研发办公区尚未建设。施工期污染物产生情况如下：</w:t>
            </w:r>
          </w:p>
          <w:p>
            <w:pPr>
              <w:spacing w:line="360" w:lineRule="auto"/>
              <w:rPr>
                <w:spacing w:val="6"/>
                <w:sz w:val="24"/>
              </w:rPr>
            </w:pPr>
            <w:r>
              <w:rPr>
                <w:sz w:val="24"/>
              </w:rPr>
              <w:t xml:space="preserve">  1、大气污染</w:t>
            </w:r>
          </w:p>
          <w:p>
            <w:pPr>
              <w:numPr>
                <w:ilvl w:val="0"/>
                <w:numId w:val="1"/>
              </w:numPr>
              <w:snapToGrid w:val="0"/>
              <w:spacing w:line="360" w:lineRule="auto"/>
              <w:rPr>
                <w:sz w:val="24"/>
              </w:rPr>
            </w:pPr>
            <w:r>
              <w:rPr>
                <w:sz w:val="24"/>
              </w:rPr>
              <w:t>各类燃油动力机械在场地开挖、场地平整、物料运输等施工作业时，会排出各类燃油废气，排放的主要污染物为CO、NO</w:t>
            </w:r>
            <w:r>
              <w:rPr>
                <w:sz w:val="24"/>
                <w:vertAlign w:val="subscript"/>
              </w:rPr>
              <w:t>X</w:t>
            </w:r>
            <w:r>
              <w:rPr>
                <w:sz w:val="24"/>
              </w:rPr>
              <w:t>、SO</w:t>
            </w:r>
            <w:r>
              <w:rPr>
                <w:sz w:val="24"/>
                <w:vertAlign w:val="subscript"/>
              </w:rPr>
              <w:t>2</w:t>
            </w:r>
            <w:r>
              <w:rPr>
                <w:sz w:val="24"/>
              </w:rPr>
              <w:t>、烟尘。</w:t>
            </w:r>
          </w:p>
          <w:p>
            <w:pPr>
              <w:numPr>
                <w:ilvl w:val="0"/>
                <w:numId w:val="1"/>
              </w:numPr>
              <w:snapToGrid w:val="0"/>
              <w:spacing w:line="360" w:lineRule="auto"/>
              <w:rPr>
                <w:sz w:val="24"/>
              </w:rPr>
            </w:pPr>
            <w:r>
              <w:rPr>
                <w:sz w:val="24"/>
              </w:rPr>
              <w:t>土石方装卸、散装水泥作业、运输时产生的扬尘。</w:t>
            </w:r>
          </w:p>
          <w:p>
            <w:pPr>
              <w:snapToGrid w:val="0"/>
              <w:spacing w:line="360" w:lineRule="auto"/>
              <w:ind w:firstLine="490" w:firstLineChars="204"/>
              <w:rPr>
                <w:sz w:val="24"/>
              </w:rPr>
            </w:pPr>
            <w:r>
              <w:rPr>
                <w:sz w:val="24"/>
              </w:rPr>
              <w:t>2、水污染</w:t>
            </w:r>
          </w:p>
          <w:p>
            <w:pPr>
              <w:numPr>
                <w:ilvl w:val="0"/>
                <w:numId w:val="1"/>
              </w:numPr>
              <w:snapToGrid w:val="0"/>
              <w:spacing w:line="360" w:lineRule="auto"/>
              <w:rPr>
                <w:sz w:val="24"/>
              </w:rPr>
            </w:pPr>
            <w:r>
              <w:rPr>
                <w:sz w:val="24"/>
              </w:rPr>
              <w:t>施工人员产生的生活污水，主要污染物为NH</w:t>
            </w:r>
            <w:r>
              <w:rPr>
                <w:sz w:val="24"/>
                <w:vertAlign w:val="subscript"/>
              </w:rPr>
              <w:t>3</w:t>
            </w:r>
            <w:r>
              <w:rPr>
                <w:sz w:val="24"/>
              </w:rPr>
              <w:t>-N、CODcr、SS。</w:t>
            </w:r>
          </w:p>
          <w:p>
            <w:pPr>
              <w:numPr>
                <w:ilvl w:val="0"/>
                <w:numId w:val="1"/>
              </w:numPr>
              <w:snapToGrid w:val="0"/>
              <w:spacing w:line="360" w:lineRule="auto"/>
              <w:rPr>
                <w:sz w:val="24"/>
              </w:rPr>
            </w:pPr>
            <w:r>
              <w:rPr>
                <w:sz w:val="24"/>
              </w:rPr>
              <w:t>运输车辆冲洗水、混凝土工程的灰浆，主要污染物为SS。</w:t>
            </w:r>
          </w:p>
          <w:p>
            <w:pPr>
              <w:snapToGrid w:val="0"/>
              <w:spacing w:line="360" w:lineRule="auto"/>
              <w:ind w:firstLine="490" w:firstLineChars="204"/>
              <w:rPr>
                <w:sz w:val="24"/>
              </w:rPr>
            </w:pPr>
            <w:r>
              <w:rPr>
                <w:sz w:val="24"/>
              </w:rPr>
              <w:t>3、声污染</w:t>
            </w:r>
          </w:p>
          <w:p>
            <w:pPr>
              <w:numPr>
                <w:ilvl w:val="0"/>
                <w:numId w:val="1"/>
              </w:numPr>
              <w:snapToGrid w:val="0"/>
              <w:spacing w:line="360" w:lineRule="auto"/>
              <w:rPr>
                <w:sz w:val="24"/>
              </w:rPr>
            </w:pPr>
            <w:r>
              <w:rPr>
                <w:sz w:val="24"/>
              </w:rPr>
              <w:t>挖掘机、装载机、推土机、打桩机、运输车等施工机械作业时产生的噪声。</w:t>
            </w:r>
          </w:p>
          <w:p>
            <w:pPr>
              <w:snapToGrid w:val="0"/>
              <w:spacing w:line="360" w:lineRule="auto"/>
              <w:ind w:firstLine="490" w:firstLineChars="204"/>
              <w:rPr>
                <w:sz w:val="24"/>
              </w:rPr>
            </w:pPr>
            <w:r>
              <w:rPr>
                <w:sz w:val="24"/>
              </w:rPr>
              <w:t>4、固废污染</w:t>
            </w:r>
          </w:p>
          <w:p>
            <w:pPr>
              <w:numPr>
                <w:ilvl w:val="0"/>
                <w:numId w:val="1"/>
              </w:numPr>
              <w:snapToGrid w:val="0"/>
              <w:spacing w:line="360" w:lineRule="auto"/>
              <w:rPr>
                <w:sz w:val="24"/>
              </w:rPr>
            </w:pPr>
            <w:r>
              <w:rPr>
                <w:sz w:val="24"/>
              </w:rPr>
              <w:t>主要是基础工程施工时挖掘的土方、建筑垃圾以及施工人员的生活垃圾。</w:t>
            </w:r>
          </w:p>
          <w:p>
            <w:pPr>
              <w:adjustRightInd w:val="0"/>
              <w:snapToGrid w:val="0"/>
              <w:spacing w:line="360" w:lineRule="auto"/>
              <w:rPr>
                <w:sz w:val="24"/>
              </w:rPr>
            </w:pPr>
            <w:r>
              <w:rPr>
                <w:sz w:val="24"/>
              </w:rPr>
              <w:t>二、运营期</w:t>
            </w:r>
          </w:p>
          <w:p>
            <w:pPr>
              <w:adjustRightInd w:val="0"/>
              <w:snapToGrid w:val="0"/>
              <w:spacing w:line="360" w:lineRule="auto"/>
              <w:ind w:firstLine="240" w:firstLineChars="100"/>
              <w:rPr>
                <w:sz w:val="24"/>
              </w:rPr>
            </w:pPr>
            <w:r>
              <w:rPr>
                <w:sz w:val="24"/>
              </w:rPr>
              <w:t>1、废气污染物：</w:t>
            </w:r>
          </w:p>
          <w:p>
            <w:pPr>
              <w:spacing w:line="360" w:lineRule="auto"/>
              <w:ind w:firstLine="480" w:firstLineChars="200"/>
              <w:rPr>
                <w:rFonts w:hint="eastAsia"/>
                <w:sz w:val="24"/>
              </w:rPr>
            </w:pPr>
            <w:r>
              <w:rPr>
                <w:sz w:val="24"/>
              </w:rPr>
              <w:t>项目运营期</w:t>
            </w:r>
            <w:r>
              <w:rPr>
                <w:rFonts w:hint="eastAsia"/>
                <w:sz w:val="24"/>
              </w:rPr>
              <w:t>仓储货物为</w:t>
            </w:r>
            <w:r>
              <w:rPr>
                <w:sz w:val="24"/>
              </w:rPr>
              <w:t>服装鞋帽、婴儿用品、食品、化妆品、汽车用品、珠宝、书籍、乐器等</w:t>
            </w:r>
            <w:r>
              <w:rPr>
                <w:rFonts w:hint="eastAsia"/>
                <w:sz w:val="24"/>
              </w:rPr>
              <w:t>，外包装为纸箱，分包过程起尘量小，对环境空气影响较小。</w:t>
            </w:r>
          </w:p>
          <w:p>
            <w:pPr>
              <w:spacing w:line="360" w:lineRule="auto"/>
              <w:ind w:firstLine="480" w:firstLineChars="200"/>
              <w:rPr>
                <w:rFonts w:hint="eastAsia"/>
                <w:sz w:val="24"/>
              </w:rPr>
            </w:pPr>
            <w:r>
              <w:rPr>
                <w:sz w:val="24"/>
              </w:rPr>
              <w:t>废气主要</w:t>
            </w:r>
            <w:r>
              <w:rPr>
                <w:rFonts w:hint="eastAsia"/>
                <w:sz w:val="24"/>
              </w:rPr>
              <w:t>为</w:t>
            </w:r>
            <w:r>
              <w:rPr>
                <w:sz w:val="24"/>
              </w:rPr>
              <w:t>地面运输车辆汽车尾气。</w:t>
            </w:r>
            <w:r>
              <w:rPr>
                <w:rFonts w:hint="eastAsia"/>
                <w:sz w:val="24"/>
              </w:rPr>
              <w:t>本项目根据配送量，共设机动车停车位527个，均为露天停车位。汽车尾气主要是指机动车进出停车位，机动车怠速及慢速（≤5km/h）状态下的尾气排放，包括排气管尾气、曲轴箱漏气及油箱和化油箱等燃料系统的泄漏等。汽车尾气中主要污染因子为CO、NOx等。汽车尾气的排放量与车型、车况和车辆数等有关，本项目机动车停车位进出车辆主要为货车，参照《环境保护实用数据手册》（P104表2-148机动车辆消耗单位燃料大气污染物排放系数），本项目汽车尾气排出的大气污染物排放系数见表6-1。</w:t>
            </w:r>
          </w:p>
          <w:p>
            <w:pPr>
              <w:adjustRightInd w:val="0"/>
              <w:snapToGrid w:val="0"/>
              <w:ind w:firstLine="442" w:firstLineChars="200"/>
              <w:jc w:val="center"/>
              <w:rPr>
                <w:rFonts w:hint="eastAsia"/>
                <w:b/>
                <w:snapToGrid w:val="0"/>
                <w:kern w:val="0"/>
                <w:sz w:val="22"/>
              </w:rPr>
            </w:pPr>
            <w:r>
              <w:rPr>
                <w:rFonts w:hint="eastAsia"/>
                <w:b/>
                <w:snapToGrid w:val="0"/>
                <w:kern w:val="0"/>
                <w:sz w:val="22"/>
              </w:rPr>
              <w:t>表6-1 机动车消耗单位燃料大气污染物排放系数（g/L）</w:t>
            </w:r>
          </w:p>
          <w:tbl>
            <w:tblPr>
              <w:tblStyle w:val="33"/>
              <w:tblW w:w="85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1512"/>
              <w:gridCol w:w="2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673" w:type="dxa"/>
                  <w:tcBorders>
                    <w:top w:val="single" w:color="auto" w:sz="4" w:space="0"/>
                    <w:left w:val="single" w:color="auto" w:sz="4" w:space="0"/>
                    <w:tl2br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污染物</w:t>
                  </w:r>
                </w:p>
                <w:p>
                  <w:pPr>
                    <w:adjustRightInd w:val="0"/>
                    <w:snapToGrid w:val="0"/>
                    <w:spacing w:line="320" w:lineRule="exact"/>
                    <w:rPr>
                      <w:rFonts w:hint="eastAsia"/>
                      <w:color w:val="000000"/>
                      <w:sz w:val="18"/>
                      <w:szCs w:val="21"/>
                    </w:rPr>
                  </w:pPr>
                  <w:r>
                    <w:rPr>
                      <w:rFonts w:hint="eastAsia"/>
                      <w:color w:val="000000"/>
                      <w:sz w:val="18"/>
                      <w:szCs w:val="21"/>
                    </w:rPr>
                    <w:t>车种</w:t>
                  </w:r>
                </w:p>
              </w:tc>
              <w:tc>
                <w:tcPr>
                  <w:tcW w:w="1512" w:type="dxa"/>
                  <w:tcBorders>
                    <w:top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CO</w:t>
                  </w:r>
                </w:p>
              </w:tc>
              <w:tc>
                <w:tcPr>
                  <w:tcW w:w="2365" w:type="dxa"/>
                  <w:tcBorders>
                    <w:top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NOx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4673" w:type="dxa"/>
                  <w:tcBorders>
                    <w:left w:val="single" w:color="auto" w:sz="4" w:space="0"/>
                    <w:bottom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货车</w:t>
                  </w:r>
                </w:p>
              </w:tc>
              <w:tc>
                <w:tcPr>
                  <w:tcW w:w="1512" w:type="dxa"/>
                  <w:tcBorders>
                    <w:bottom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33.8</w:t>
                  </w:r>
                </w:p>
              </w:tc>
              <w:tc>
                <w:tcPr>
                  <w:tcW w:w="2365" w:type="dxa"/>
                  <w:tcBorders>
                    <w:bottom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125.7</w:t>
                  </w:r>
                </w:p>
              </w:tc>
            </w:tr>
          </w:tbl>
          <w:p>
            <w:pPr>
              <w:spacing w:line="360" w:lineRule="auto"/>
              <w:ind w:firstLine="480" w:firstLineChars="200"/>
              <w:rPr>
                <w:rFonts w:hint="eastAsia"/>
                <w:sz w:val="24"/>
              </w:rPr>
            </w:pPr>
            <w:r>
              <w:rPr>
                <w:rFonts w:hint="eastAsia"/>
                <w:sz w:val="24"/>
              </w:rPr>
              <w:t>一般汽车出入停车场的行驶速度要求不大于5 km/h，出入口到泊位的平均距离如按照50 m计算，汽车在停车场内运行时间约为36 s；从汽车停在泊位至关闭发动机一般在1-3s；而汽车从泊位启动至出车一般在3-180s，平均约60s，故汽车出入停车场与在停车场内的运行时间约为100 s。根据调查，车辆进出停车场的平均耗油速率为0.20 L/km，则每辆汽车进出停车场产生的废气污染物的量可由下式计算：</w:t>
            </w:r>
          </w:p>
          <w:p>
            <w:pPr>
              <w:spacing w:line="360" w:lineRule="auto"/>
              <w:ind w:firstLine="480" w:firstLineChars="200"/>
              <w:jc w:val="center"/>
              <w:rPr>
                <w:rFonts w:hint="eastAsia"/>
                <w:sz w:val="24"/>
              </w:rPr>
            </w:pPr>
            <w:r>
              <w:rPr>
                <w:rFonts w:hint="eastAsia"/>
                <w:sz w:val="24"/>
              </w:rPr>
              <w:t>g= f•M，其中：M= m•t</w:t>
            </w:r>
          </w:p>
          <w:p>
            <w:pPr>
              <w:spacing w:line="360" w:lineRule="auto"/>
              <w:ind w:firstLine="480" w:firstLineChars="200"/>
              <w:rPr>
                <w:rFonts w:hint="eastAsia"/>
                <w:sz w:val="24"/>
              </w:rPr>
            </w:pPr>
            <w:r>
              <w:rPr>
                <w:rFonts w:hint="eastAsia"/>
                <w:sz w:val="24"/>
              </w:rPr>
              <w:t>式中：f—大气污染物排放系数（g/L汽油）；</w:t>
            </w:r>
          </w:p>
          <w:p>
            <w:pPr>
              <w:spacing w:line="360" w:lineRule="auto"/>
              <w:ind w:firstLine="480" w:firstLineChars="200"/>
              <w:rPr>
                <w:rFonts w:hint="eastAsia"/>
                <w:sz w:val="24"/>
              </w:rPr>
            </w:pPr>
            <w:r>
              <w:rPr>
                <w:rFonts w:hint="eastAsia"/>
                <w:sz w:val="24"/>
              </w:rPr>
              <w:t>M—每辆汽车进出停车场耗油量（L）；</w:t>
            </w:r>
          </w:p>
          <w:p>
            <w:pPr>
              <w:spacing w:line="360" w:lineRule="auto"/>
              <w:ind w:firstLine="480" w:firstLineChars="200"/>
              <w:rPr>
                <w:rFonts w:hint="eastAsia"/>
                <w:sz w:val="24"/>
              </w:rPr>
            </w:pPr>
            <w:r>
              <w:rPr>
                <w:rFonts w:hint="eastAsia"/>
                <w:sz w:val="24"/>
              </w:rPr>
              <w:t>t—汽车出入停车场与在停车场内的运行时间总和，由上述分析可知，约为100 s；</w:t>
            </w:r>
          </w:p>
          <w:p>
            <w:pPr>
              <w:spacing w:line="360" w:lineRule="auto"/>
              <w:ind w:firstLine="480" w:firstLineChars="200"/>
              <w:rPr>
                <w:rFonts w:hint="eastAsia"/>
                <w:sz w:val="24"/>
              </w:rPr>
            </w:pPr>
            <w:r>
              <w:rPr>
                <w:rFonts w:hint="eastAsia"/>
                <w:sz w:val="24"/>
              </w:rPr>
              <w:t>m—车辆进出停车场的平均耗油速率，约为0.20L/km，按照车速5km/h计算，可得2.78×10</w:t>
            </w:r>
            <w:r>
              <w:rPr>
                <w:rFonts w:hint="eastAsia"/>
                <w:sz w:val="24"/>
                <w:vertAlign w:val="superscript"/>
              </w:rPr>
              <w:t>-4</w:t>
            </w:r>
            <w:r>
              <w:rPr>
                <w:rFonts w:hint="eastAsia"/>
                <w:sz w:val="24"/>
              </w:rPr>
              <w:t xml:space="preserve"> L/s。</w:t>
            </w:r>
          </w:p>
          <w:p>
            <w:pPr>
              <w:spacing w:line="360" w:lineRule="auto"/>
              <w:ind w:firstLine="480" w:firstLineChars="200"/>
              <w:rPr>
                <w:rFonts w:hint="eastAsia"/>
                <w:sz w:val="24"/>
              </w:rPr>
            </w:pPr>
            <w:r>
              <w:rPr>
                <w:rFonts w:hint="eastAsia"/>
                <w:sz w:val="24"/>
              </w:rPr>
              <w:t>由上式计算可知每辆汽车进出停车场一次耗油量为0.0278 L（出入口到泊位的平均距离以50 m计），每辆汽车进出停车场产生的废气污染物CO、NOx的量分别为0.97 g、0.61 g。</w:t>
            </w:r>
          </w:p>
          <w:p>
            <w:pPr>
              <w:spacing w:line="360" w:lineRule="auto"/>
              <w:ind w:firstLine="480" w:firstLineChars="200"/>
              <w:rPr>
                <w:rFonts w:hint="eastAsia"/>
                <w:sz w:val="24"/>
              </w:rPr>
            </w:pPr>
            <w:r>
              <w:rPr>
                <w:rFonts w:hint="eastAsia"/>
                <w:sz w:val="24"/>
              </w:rPr>
              <w:t>停车场对环境的影响与其运行工况（车流量）直接相关。根据类比调查，本项目停车场每个停车位平均每天有3.5个车次进出，根据停车场的泊位数，计算废气排放情况见表6-2。</w:t>
            </w:r>
            <w:r>
              <w:rPr>
                <w:bCs/>
                <w:sz w:val="24"/>
                <w:szCs w:val="21"/>
              </w:rPr>
              <w:t>本项目</w:t>
            </w:r>
            <w:r>
              <w:rPr>
                <w:rFonts w:hint="eastAsia"/>
                <w:bCs/>
                <w:sz w:val="24"/>
                <w:szCs w:val="21"/>
              </w:rPr>
              <w:t>大气污染物排放</w:t>
            </w:r>
            <w:r>
              <w:rPr>
                <w:bCs/>
                <w:sz w:val="24"/>
                <w:szCs w:val="21"/>
              </w:rPr>
              <w:t>汇总情况见表</w:t>
            </w:r>
            <w:r>
              <w:rPr>
                <w:rFonts w:hint="eastAsia"/>
                <w:bCs/>
                <w:sz w:val="24"/>
                <w:szCs w:val="21"/>
              </w:rPr>
              <w:t>6-3</w:t>
            </w:r>
            <w:r>
              <w:rPr>
                <w:bCs/>
                <w:sz w:val="24"/>
                <w:szCs w:val="21"/>
              </w:rPr>
              <w:t>。</w:t>
            </w:r>
          </w:p>
          <w:p>
            <w:pPr>
              <w:adjustRightInd w:val="0"/>
              <w:snapToGrid w:val="0"/>
              <w:ind w:firstLine="442" w:firstLineChars="200"/>
              <w:jc w:val="center"/>
              <w:rPr>
                <w:rFonts w:hint="eastAsia"/>
                <w:b/>
                <w:snapToGrid w:val="0"/>
                <w:kern w:val="0"/>
                <w:sz w:val="22"/>
              </w:rPr>
            </w:pPr>
            <w:r>
              <w:rPr>
                <w:rFonts w:hint="eastAsia"/>
                <w:b/>
                <w:snapToGrid w:val="0"/>
                <w:kern w:val="0"/>
                <w:sz w:val="22"/>
              </w:rPr>
              <w:t>表6-2  汽车尾气污染物排放情况</w:t>
            </w:r>
          </w:p>
          <w:tbl>
            <w:tblPr>
              <w:tblStyle w:val="33"/>
              <w:tblW w:w="85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1551"/>
              <w:gridCol w:w="2596"/>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7" w:hRule="atLeast"/>
                <w:jc w:val="center"/>
              </w:trPr>
              <w:tc>
                <w:tcPr>
                  <w:tcW w:w="1999" w:type="dxa"/>
                  <w:vMerge w:val="restart"/>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泊位（个）</w:t>
                  </w:r>
                </w:p>
              </w:tc>
              <w:tc>
                <w:tcPr>
                  <w:tcW w:w="1551" w:type="dxa"/>
                  <w:vMerge w:val="restart"/>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日车流量</w:t>
                  </w:r>
                </w:p>
              </w:tc>
              <w:tc>
                <w:tcPr>
                  <w:tcW w:w="5000" w:type="dxa"/>
                  <w:gridSpan w:val="2"/>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污染物排放量（t/a）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7" w:hRule="atLeast"/>
                <w:jc w:val="center"/>
              </w:trPr>
              <w:tc>
                <w:tcPr>
                  <w:tcW w:w="1999" w:type="dxa"/>
                  <w:vMerge w:val="continue"/>
                  <w:vAlign w:val="center"/>
                </w:tcPr>
                <w:p>
                  <w:pPr>
                    <w:adjustRightInd w:val="0"/>
                    <w:snapToGrid w:val="0"/>
                    <w:spacing w:line="320" w:lineRule="exact"/>
                    <w:jc w:val="center"/>
                    <w:rPr>
                      <w:rFonts w:hint="eastAsia"/>
                      <w:color w:val="000000"/>
                      <w:sz w:val="18"/>
                      <w:szCs w:val="21"/>
                    </w:rPr>
                  </w:pPr>
                </w:p>
              </w:tc>
              <w:tc>
                <w:tcPr>
                  <w:tcW w:w="1551" w:type="dxa"/>
                  <w:vMerge w:val="continue"/>
                  <w:vAlign w:val="center"/>
                </w:tcPr>
                <w:p>
                  <w:pPr>
                    <w:adjustRightInd w:val="0"/>
                    <w:snapToGrid w:val="0"/>
                    <w:spacing w:line="320" w:lineRule="exact"/>
                    <w:jc w:val="center"/>
                    <w:rPr>
                      <w:rFonts w:hint="eastAsia"/>
                      <w:color w:val="000000"/>
                      <w:sz w:val="18"/>
                      <w:szCs w:val="21"/>
                    </w:rPr>
                  </w:pPr>
                </w:p>
              </w:tc>
              <w:tc>
                <w:tcPr>
                  <w:tcW w:w="2596"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CO</w:t>
                  </w:r>
                </w:p>
              </w:tc>
              <w:tc>
                <w:tcPr>
                  <w:tcW w:w="2404"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NOx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7" w:hRule="atLeast"/>
                <w:jc w:val="center"/>
              </w:trPr>
              <w:tc>
                <w:tcPr>
                  <w:tcW w:w="1999" w:type="dxa"/>
                  <w:vAlign w:val="center"/>
                </w:tcPr>
                <w:p>
                  <w:pPr>
                    <w:adjustRightInd w:val="0"/>
                    <w:snapToGrid w:val="0"/>
                    <w:spacing w:line="320" w:lineRule="exact"/>
                    <w:jc w:val="center"/>
                    <w:rPr>
                      <w:rFonts w:hint="eastAsia"/>
                      <w:color w:val="000000"/>
                      <w:sz w:val="18"/>
                      <w:szCs w:val="21"/>
                    </w:rPr>
                  </w:pPr>
                  <w:bookmarkStart w:id="9" w:name="_Hlk314568313"/>
                  <w:r>
                    <w:rPr>
                      <w:rFonts w:hint="eastAsia"/>
                      <w:color w:val="000000"/>
                      <w:sz w:val="18"/>
                      <w:szCs w:val="21"/>
                    </w:rPr>
                    <w:t>527</w:t>
                  </w:r>
                </w:p>
              </w:tc>
              <w:tc>
                <w:tcPr>
                  <w:tcW w:w="1551"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1844</w:t>
                  </w:r>
                </w:p>
              </w:tc>
              <w:tc>
                <w:tcPr>
                  <w:tcW w:w="2596"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0.66</w:t>
                  </w:r>
                </w:p>
              </w:tc>
              <w:tc>
                <w:tcPr>
                  <w:tcW w:w="2404"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0.41</w:t>
                  </w:r>
                </w:p>
              </w:tc>
            </w:tr>
            <w:bookmarkEnd w:id="9"/>
          </w:tbl>
          <w:p>
            <w:pPr>
              <w:adjustRightInd w:val="0"/>
              <w:snapToGrid w:val="0"/>
              <w:ind w:firstLine="442" w:firstLineChars="200"/>
              <w:jc w:val="center"/>
              <w:rPr>
                <w:rFonts w:hint="eastAsia"/>
                <w:b/>
                <w:snapToGrid w:val="0"/>
                <w:kern w:val="0"/>
                <w:sz w:val="22"/>
              </w:rPr>
            </w:pPr>
            <w:r>
              <w:rPr>
                <w:rFonts w:hint="eastAsia"/>
                <w:b/>
                <w:snapToGrid w:val="0"/>
                <w:kern w:val="0"/>
                <w:sz w:val="22"/>
              </w:rPr>
              <w:t>表6-3 废气污染物排放汇总表  单位：t/a</w:t>
            </w:r>
          </w:p>
          <w:tbl>
            <w:tblPr>
              <w:tblStyle w:val="33"/>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710"/>
              <w:gridCol w:w="1710"/>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类别</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污染物</w:t>
                  </w:r>
                </w:p>
              </w:tc>
              <w:tc>
                <w:tcPr>
                  <w:tcW w:w="1710" w:type="dxa"/>
                  <w:vAlign w:val="center"/>
                </w:tcPr>
                <w:p>
                  <w:pPr>
                    <w:adjustRightInd w:val="0"/>
                    <w:snapToGrid w:val="0"/>
                    <w:spacing w:line="320" w:lineRule="exact"/>
                    <w:jc w:val="center"/>
                    <w:rPr>
                      <w:color w:val="000000"/>
                      <w:sz w:val="18"/>
                      <w:szCs w:val="21"/>
                    </w:rPr>
                  </w:pPr>
                  <w:r>
                    <w:rPr>
                      <w:color w:val="000000"/>
                      <w:sz w:val="18"/>
                      <w:szCs w:val="21"/>
                    </w:rPr>
                    <w:t>产生量</w:t>
                  </w:r>
                </w:p>
              </w:tc>
              <w:tc>
                <w:tcPr>
                  <w:tcW w:w="1710" w:type="dxa"/>
                  <w:vAlign w:val="center"/>
                </w:tcPr>
                <w:p>
                  <w:pPr>
                    <w:adjustRightInd w:val="0"/>
                    <w:snapToGrid w:val="0"/>
                    <w:spacing w:line="320" w:lineRule="exact"/>
                    <w:jc w:val="center"/>
                    <w:rPr>
                      <w:color w:val="000000"/>
                      <w:sz w:val="18"/>
                      <w:szCs w:val="21"/>
                    </w:rPr>
                  </w:pPr>
                  <w:r>
                    <w:rPr>
                      <w:color w:val="000000"/>
                      <w:sz w:val="18"/>
                      <w:szCs w:val="21"/>
                    </w:rPr>
                    <w:t>消减量</w:t>
                  </w:r>
                </w:p>
              </w:tc>
              <w:tc>
                <w:tcPr>
                  <w:tcW w:w="1710" w:type="dxa"/>
                  <w:vAlign w:val="center"/>
                </w:tcPr>
                <w:p>
                  <w:pPr>
                    <w:adjustRightInd w:val="0"/>
                    <w:snapToGrid w:val="0"/>
                    <w:spacing w:line="320" w:lineRule="exact"/>
                    <w:jc w:val="center"/>
                    <w:rPr>
                      <w:color w:val="000000"/>
                      <w:sz w:val="18"/>
                      <w:szCs w:val="21"/>
                    </w:rPr>
                  </w:pPr>
                  <w:r>
                    <w:rPr>
                      <w:color w:val="000000"/>
                      <w:sz w:val="18"/>
                      <w:szCs w:val="21"/>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有组织</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1710" w:type="dxa"/>
                  <w:vMerge w:val="restart"/>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无组织</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CO</w:t>
                  </w:r>
                </w:p>
              </w:tc>
              <w:tc>
                <w:tcPr>
                  <w:tcW w:w="1710" w:type="dxa"/>
                  <w:vAlign w:val="center"/>
                </w:tcPr>
                <w:p>
                  <w:pPr>
                    <w:adjustRightInd w:val="0"/>
                    <w:snapToGrid w:val="0"/>
                    <w:spacing w:line="320" w:lineRule="exact"/>
                    <w:jc w:val="center"/>
                    <w:rPr>
                      <w:color w:val="000000"/>
                      <w:sz w:val="18"/>
                      <w:szCs w:val="21"/>
                    </w:rPr>
                  </w:pPr>
                  <w:r>
                    <w:rPr>
                      <w:rFonts w:hint="eastAsia"/>
                      <w:color w:val="000000"/>
                      <w:sz w:val="18"/>
                      <w:szCs w:val="21"/>
                    </w:rPr>
                    <w:t>0.66</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10" w:type="dxa"/>
                  <w:vAlign w:val="center"/>
                </w:tcPr>
                <w:p>
                  <w:pPr>
                    <w:adjustRightInd w:val="0"/>
                    <w:snapToGrid w:val="0"/>
                    <w:spacing w:line="320" w:lineRule="exact"/>
                    <w:jc w:val="center"/>
                    <w:rPr>
                      <w:color w:val="000000"/>
                      <w:sz w:val="18"/>
                      <w:szCs w:val="21"/>
                    </w:rPr>
                  </w:pPr>
                  <w:r>
                    <w:rPr>
                      <w:rFonts w:hint="eastAsia"/>
                      <w:color w:val="000000"/>
                      <w:sz w:val="18"/>
                      <w:szCs w:val="21"/>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710" w:type="dxa"/>
                  <w:vMerge w:val="continue"/>
                  <w:vAlign w:val="center"/>
                </w:tcPr>
                <w:p>
                  <w:pPr>
                    <w:adjustRightInd w:val="0"/>
                    <w:snapToGrid w:val="0"/>
                    <w:spacing w:line="320" w:lineRule="exact"/>
                    <w:jc w:val="center"/>
                    <w:rPr>
                      <w:rFonts w:hint="eastAsia"/>
                      <w:color w:val="000000"/>
                      <w:sz w:val="18"/>
                      <w:szCs w:val="21"/>
                    </w:rPr>
                  </w:pP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NO</w:t>
                  </w:r>
                  <w:r>
                    <w:rPr>
                      <w:rFonts w:hint="eastAsia"/>
                      <w:color w:val="000000"/>
                      <w:sz w:val="18"/>
                      <w:szCs w:val="21"/>
                      <w:vertAlign w:val="subscript"/>
                    </w:rPr>
                    <w:t>X</w:t>
                  </w:r>
                </w:p>
              </w:tc>
              <w:tc>
                <w:tcPr>
                  <w:tcW w:w="1710" w:type="dxa"/>
                  <w:vAlign w:val="center"/>
                </w:tcPr>
                <w:p>
                  <w:pPr>
                    <w:adjustRightInd w:val="0"/>
                    <w:snapToGrid w:val="0"/>
                    <w:spacing w:line="320" w:lineRule="exact"/>
                    <w:jc w:val="center"/>
                    <w:rPr>
                      <w:color w:val="000000"/>
                      <w:sz w:val="18"/>
                      <w:szCs w:val="21"/>
                    </w:rPr>
                  </w:pPr>
                  <w:r>
                    <w:rPr>
                      <w:rFonts w:hint="eastAsia"/>
                      <w:color w:val="000000"/>
                      <w:sz w:val="18"/>
                      <w:szCs w:val="21"/>
                    </w:rPr>
                    <w:t>0.41</w:t>
                  </w:r>
                </w:p>
              </w:tc>
              <w:tc>
                <w:tcPr>
                  <w:tcW w:w="1710" w:type="dxa"/>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0</w:t>
                  </w:r>
                </w:p>
              </w:tc>
              <w:tc>
                <w:tcPr>
                  <w:tcW w:w="1710" w:type="dxa"/>
                  <w:vAlign w:val="center"/>
                </w:tcPr>
                <w:p>
                  <w:pPr>
                    <w:adjustRightInd w:val="0"/>
                    <w:snapToGrid w:val="0"/>
                    <w:spacing w:line="320" w:lineRule="exact"/>
                    <w:jc w:val="center"/>
                    <w:rPr>
                      <w:color w:val="000000"/>
                      <w:sz w:val="18"/>
                      <w:szCs w:val="21"/>
                    </w:rPr>
                  </w:pPr>
                  <w:r>
                    <w:rPr>
                      <w:rFonts w:hint="eastAsia"/>
                      <w:color w:val="000000"/>
                      <w:sz w:val="18"/>
                      <w:szCs w:val="21"/>
                    </w:rPr>
                    <w:t>0.41</w:t>
                  </w:r>
                </w:p>
              </w:tc>
            </w:tr>
          </w:tbl>
          <w:p>
            <w:pPr>
              <w:adjustRightInd w:val="0"/>
              <w:snapToGrid w:val="0"/>
              <w:spacing w:line="360" w:lineRule="auto"/>
              <w:ind w:firstLine="480" w:firstLineChars="200"/>
              <w:jc w:val="left"/>
              <w:rPr>
                <w:bCs/>
                <w:sz w:val="24"/>
                <w:szCs w:val="21"/>
              </w:rPr>
            </w:pPr>
            <w:r>
              <w:rPr>
                <w:bCs/>
                <w:sz w:val="24"/>
                <w:szCs w:val="21"/>
              </w:rPr>
              <w:t>2、废水污染物</w:t>
            </w:r>
          </w:p>
          <w:p>
            <w:pPr>
              <w:adjustRightInd w:val="0"/>
              <w:snapToGrid w:val="0"/>
              <w:spacing w:line="360" w:lineRule="auto"/>
              <w:ind w:firstLine="480" w:firstLineChars="200"/>
              <w:jc w:val="left"/>
              <w:rPr>
                <w:sz w:val="24"/>
              </w:rPr>
            </w:pPr>
            <w:r>
              <w:rPr>
                <w:bCs/>
                <w:sz w:val="24"/>
                <w:szCs w:val="21"/>
              </w:rPr>
              <w:t>本项目使用新鲜水量为</w:t>
            </w:r>
            <w:r>
              <w:rPr>
                <w:rFonts w:hint="eastAsia"/>
                <w:bCs/>
                <w:sz w:val="24"/>
                <w:szCs w:val="21"/>
              </w:rPr>
              <w:t>60935</w:t>
            </w:r>
            <w:r>
              <w:rPr>
                <w:bCs/>
                <w:sz w:val="24"/>
                <w:szCs w:val="21"/>
              </w:rPr>
              <w:t>t/a，</w:t>
            </w:r>
            <w:r>
              <w:rPr>
                <w:rFonts w:hint="eastAsia"/>
                <w:bCs/>
                <w:sz w:val="24"/>
                <w:szCs w:val="21"/>
              </w:rPr>
              <w:t>建设项目不设食堂，废水</w:t>
            </w:r>
            <w:r>
              <w:rPr>
                <w:bCs/>
                <w:sz w:val="24"/>
                <w:szCs w:val="21"/>
              </w:rPr>
              <w:t>主要为</w:t>
            </w:r>
            <w:r>
              <w:rPr>
                <w:rFonts w:hint="eastAsia"/>
                <w:bCs/>
                <w:sz w:val="24"/>
                <w:szCs w:val="21"/>
              </w:rPr>
              <w:t>员工</w:t>
            </w:r>
            <w:r>
              <w:rPr>
                <w:bCs/>
                <w:sz w:val="24"/>
                <w:szCs w:val="21"/>
              </w:rPr>
              <w:t>生活用水。</w:t>
            </w:r>
            <w:r>
              <w:rPr>
                <w:rFonts w:hint="eastAsia" w:hAnsi="宋体"/>
                <w:sz w:val="24"/>
              </w:rPr>
              <w:t>本项目设备和地面无需冲洗，因此，设备和地面冲洗水不予考虑。</w:t>
            </w:r>
          </w:p>
          <w:p>
            <w:pPr>
              <w:adjustRightInd w:val="0"/>
              <w:snapToGrid w:val="0"/>
              <w:spacing w:line="360" w:lineRule="auto"/>
              <w:ind w:firstLine="480" w:firstLineChars="200"/>
              <w:jc w:val="left"/>
              <w:rPr>
                <w:rFonts w:hint="eastAsia"/>
                <w:sz w:val="24"/>
              </w:rPr>
            </w:pPr>
            <w:r>
              <w:rPr>
                <w:rFonts w:hint="eastAsia" w:ascii="宋体" w:hAnsi="宋体" w:cs="宋体"/>
                <w:bCs/>
                <w:sz w:val="24"/>
                <w:szCs w:val="21"/>
              </w:rPr>
              <w:t>①</w:t>
            </w:r>
            <w:r>
              <w:rPr>
                <w:bCs/>
                <w:sz w:val="24"/>
                <w:szCs w:val="21"/>
              </w:rPr>
              <w:t>根据</w:t>
            </w:r>
            <w:r>
              <w:rPr>
                <w:sz w:val="24"/>
              </w:rPr>
              <w:t>《建筑给水排水设计规范》，</w:t>
            </w:r>
            <w:r>
              <w:rPr>
                <w:bCs/>
                <w:sz w:val="24"/>
                <w:szCs w:val="21"/>
              </w:rPr>
              <w:t>本项目员工用水按人均用水量80L/d，全天以</w:t>
            </w:r>
            <w:r>
              <w:rPr>
                <w:rFonts w:hint="eastAsia"/>
                <w:bCs/>
                <w:sz w:val="24"/>
                <w:szCs w:val="21"/>
              </w:rPr>
              <w:t>1400</w:t>
            </w:r>
            <w:r>
              <w:rPr>
                <w:bCs/>
                <w:sz w:val="24"/>
                <w:szCs w:val="21"/>
              </w:rPr>
              <w:t>人计，生活用水量</w:t>
            </w:r>
            <w:r>
              <w:rPr>
                <w:rFonts w:hint="eastAsia"/>
                <w:bCs/>
                <w:sz w:val="24"/>
                <w:szCs w:val="21"/>
              </w:rPr>
              <w:t>33520</w:t>
            </w:r>
            <w:r>
              <w:rPr>
                <w:bCs/>
                <w:sz w:val="24"/>
                <w:szCs w:val="21"/>
              </w:rPr>
              <w:t>t/a（</w:t>
            </w:r>
            <w:r>
              <w:rPr>
                <w:rFonts w:hint="eastAsia"/>
                <w:bCs/>
                <w:sz w:val="24"/>
                <w:szCs w:val="21"/>
              </w:rPr>
              <w:t>物流配送人员</w:t>
            </w:r>
            <w:r>
              <w:rPr>
                <w:bCs/>
                <w:sz w:val="24"/>
                <w:szCs w:val="21"/>
              </w:rPr>
              <w:t>一年按</w:t>
            </w:r>
            <w:r>
              <w:rPr>
                <w:rFonts w:hint="eastAsia"/>
                <w:bCs/>
                <w:sz w:val="24"/>
                <w:szCs w:val="21"/>
              </w:rPr>
              <w:t>365</w:t>
            </w:r>
            <w:r>
              <w:rPr>
                <w:bCs/>
                <w:sz w:val="24"/>
                <w:szCs w:val="21"/>
              </w:rPr>
              <w:t>天计</w:t>
            </w:r>
            <w:r>
              <w:rPr>
                <w:rFonts w:hint="eastAsia"/>
                <w:bCs/>
                <w:sz w:val="24"/>
                <w:szCs w:val="21"/>
              </w:rPr>
              <w:t>，研发办公人员按250天计</w:t>
            </w:r>
            <w:r>
              <w:rPr>
                <w:bCs/>
                <w:sz w:val="24"/>
                <w:szCs w:val="21"/>
              </w:rPr>
              <w:t>），排放系数按80%计，则产生的生活污水为</w:t>
            </w:r>
            <w:r>
              <w:rPr>
                <w:rFonts w:hint="eastAsia"/>
                <w:bCs/>
                <w:sz w:val="24"/>
                <w:szCs w:val="21"/>
              </w:rPr>
              <w:t>26816</w:t>
            </w:r>
            <w:r>
              <w:rPr>
                <w:bCs/>
                <w:sz w:val="24"/>
                <w:szCs w:val="21"/>
              </w:rPr>
              <w:t>t/a，主要的污染因子为COD、NH</w:t>
            </w:r>
            <w:r>
              <w:rPr>
                <w:bCs/>
                <w:sz w:val="24"/>
                <w:szCs w:val="21"/>
                <w:vertAlign w:val="subscript"/>
              </w:rPr>
              <w:t>3</w:t>
            </w:r>
            <w:r>
              <w:rPr>
                <w:bCs/>
                <w:sz w:val="24"/>
                <w:szCs w:val="21"/>
              </w:rPr>
              <w:t>-N、SS、TP，</w:t>
            </w:r>
            <w:r>
              <w:rPr>
                <w:sz w:val="24"/>
              </w:rPr>
              <w:t>废水中COD浓度约为350mg/L，SS浓度约为250mg/L，氨氮浓度约为30mg/L、TP浓度约为</w:t>
            </w:r>
            <w:r>
              <w:rPr>
                <w:rFonts w:hint="eastAsia"/>
                <w:sz w:val="24"/>
              </w:rPr>
              <w:t>5</w:t>
            </w:r>
            <w:r>
              <w:rPr>
                <w:sz w:val="24"/>
              </w:rPr>
              <w:t>mg/L。</w:t>
            </w:r>
          </w:p>
          <w:p>
            <w:pPr>
              <w:adjustRightInd w:val="0"/>
              <w:snapToGrid w:val="0"/>
              <w:spacing w:line="360" w:lineRule="auto"/>
              <w:ind w:firstLine="480" w:firstLineChars="200"/>
              <w:jc w:val="left"/>
              <w:rPr>
                <w:rFonts w:hint="eastAsia"/>
                <w:sz w:val="24"/>
              </w:rPr>
            </w:pPr>
            <w:r>
              <w:rPr>
                <w:sz w:val="24"/>
              </w:rPr>
              <w:t>员工生活污水</w:t>
            </w:r>
            <w:r>
              <w:rPr>
                <w:rFonts w:hint="eastAsia"/>
                <w:sz w:val="24"/>
              </w:rPr>
              <w:t>经化粪池处理，</w:t>
            </w:r>
            <w:r>
              <w:rPr>
                <w:sz w:val="24"/>
              </w:rPr>
              <w:t>处理后废水中COD浓度约为300mg/L，SS浓度约为</w:t>
            </w:r>
            <w:r>
              <w:rPr>
                <w:rFonts w:hint="eastAsia"/>
                <w:sz w:val="24"/>
              </w:rPr>
              <w:t>175</w:t>
            </w:r>
            <w:r>
              <w:rPr>
                <w:sz w:val="24"/>
              </w:rPr>
              <w:t>mg/L，氨氮浓度约为2</w:t>
            </w:r>
            <w:r>
              <w:rPr>
                <w:rFonts w:hint="eastAsia"/>
                <w:sz w:val="24"/>
              </w:rPr>
              <w:t>8</w:t>
            </w:r>
            <w:r>
              <w:rPr>
                <w:sz w:val="24"/>
              </w:rPr>
              <w:t>mg/L、TP浓度约为</w:t>
            </w:r>
            <w:r>
              <w:rPr>
                <w:rFonts w:hint="eastAsia"/>
                <w:sz w:val="24"/>
              </w:rPr>
              <w:t>3.</w:t>
            </w:r>
            <w:r>
              <w:rPr>
                <w:sz w:val="24"/>
              </w:rPr>
              <w:t>5mg/L。按此计算出本项目中生活污水接管量为</w:t>
            </w:r>
            <w:r>
              <w:rPr>
                <w:rFonts w:hint="eastAsia"/>
                <w:sz w:val="24"/>
              </w:rPr>
              <w:t>26816</w:t>
            </w:r>
            <w:r>
              <w:rPr>
                <w:sz w:val="24"/>
              </w:rPr>
              <w:t>m</w:t>
            </w:r>
            <w:r>
              <w:rPr>
                <w:sz w:val="24"/>
                <w:vertAlign w:val="superscript"/>
              </w:rPr>
              <w:t>3</w:t>
            </w:r>
            <w:r>
              <w:rPr>
                <w:sz w:val="24"/>
              </w:rPr>
              <w:t>/a，其中COD</w:t>
            </w:r>
            <w:r>
              <w:rPr>
                <w:rFonts w:hint="eastAsia"/>
                <w:sz w:val="24"/>
              </w:rPr>
              <w:t>8.04</w:t>
            </w:r>
            <w:r>
              <w:rPr>
                <w:sz w:val="24"/>
              </w:rPr>
              <w:t>t/a，SS</w:t>
            </w:r>
            <w:r>
              <w:rPr>
                <w:rFonts w:hint="eastAsia"/>
                <w:sz w:val="24"/>
              </w:rPr>
              <w:t>4.69</w:t>
            </w:r>
            <w:r>
              <w:rPr>
                <w:sz w:val="24"/>
              </w:rPr>
              <w:t>t/a，NH</w:t>
            </w:r>
            <w:r>
              <w:rPr>
                <w:sz w:val="24"/>
                <w:vertAlign w:val="subscript"/>
              </w:rPr>
              <w:t>3</w:t>
            </w:r>
            <w:r>
              <w:rPr>
                <w:sz w:val="24"/>
              </w:rPr>
              <w:t>-N</w:t>
            </w:r>
            <w:r>
              <w:rPr>
                <w:rFonts w:hint="eastAsia"/>
                <w:sz w:val="24"/>
              </w:rPr>
              <w:t>0.75</w:t>
            </w:r>
            <w:r>
              <w:rPr>
                <w:sz w:val="24"/>
              </w:rPr>
              <w:t>t/a，TP0.</w:t>
            </w:r>
            <w:r>
              <w:rPr>
                <w:rFonts w:hint="eastAsia"/>
                <w:sz w:val="24"/>
              </w:rPr>
              <w:t>09</w:t>
            </w:r>
            <w:r>
              <w:rPr>
                <w:sz w:val="24"/>
              </w:rPr>
              <w:t>t/a。</w:t>
            </w:r>
          </w:p>
          <w:p>
            <w:pPr>
              <w:adjustRightInd w:val="0"/>
              <w:snapToGrid w:val="0"/>
              <w:spacing w:line="360" w:lineRule="auto"/>
              <w:ind w:firstLine="480" w:firstLineChars="200"/>
              <w:jc w:val="left"/>
              <w:rPr>
                <w:rFonts w:hint="eastAsia"/>
                <w:bCs/>
                <w:sz w:val="24"/>
                <w:szCs w:val="21"/>
              </w:rPr>
            </w:pPr>
            <w:r>
              <w:rPr>
                <w:bCs/>
                <w:sz w:val="24"/>
                <w:szCs w:val="21"/>
              </w:rPr>
              <w:t>（</w:t>
            </w:r>
            <w:r>
              <w:rPr>
                <w:rFonts w:hint="eastAsia"/>
                <w:bCs/>
                <w:sz w:val="24"/>
                <w:szCs w:val="21"/>
              </w:rPr>
              <w:t>2</w:t>
            </w:r>
            <w:r>
              <w:rPr>
                <w:bCs/>
                <w:sz w:val="24"/>
                <w:szCs w:val="21"/>
              </w:rPr>
              <w:t>）本项目绿化面积66220.4m</w:t>
            </w:r>
            <w:r>
              <w:rPr>
                <w:bCs/>
                <w:sz w:val="24"/>
                <w:szCs w:val="21"/>
                <w:vertAlign w:val="superscript"/>
              </w:rPr>
              <w:t>2</w:t>
            </w:r>
            <w:r>
              <w:rPr>
                <w:bCs/>
                <w:sz w:val="24"/>
                <w:szCs w:val="21"/>
              </w:rPr>
              <w:t>，</w:t>
            </w:r>
            <w:r>
              <w:rPr>
                <w:sz w:val="24"/>
              </w:rPr>
              <w:t>根据《江苏省城市生活与公共用水定额》用水定额取</w:t>
            </w:r>
            <w:r>
              <w:rPr>
                <w:rFonts w:hint="eastAsia"/>
                <w:sz w:val="24"/>
              </w:rPr>
              <w:t>1.8</w:t>
            </w:r>
            <w:r>
              <w:rPr>
                <w:sz w:val="24"/>
              </w:rPr>
              <w:t>L/ m</w:t>
            </w:r>
            <w:r>
              <w:rPr>
                <w:sz w:val="24"/>
                <w:vertAlign w:val="superscript"/>
              </w:rPr>
              <w:t>2</w:t>
            </w:r>
            <w:r>
              <w:rPr>
                <w:sz w:val="24"/>
              </w:rPr>
              <w:t>·d</w:t>
            </w:r>
            <w:r>
              <w:rPr>
                <w:rFonts w:hint="eastAsia"/>
                <w:sz w:val="24"/>
              </w:rPr>
              <w:t>（2、3季度）</w:t>
            </w:r>
            <w:r>
              <w:rPr>
                <w:sz w:val="24"/>
              </w:rPr>
              <w:t>，</w:t>
            </w:r>
            <w:r>
              <w:rPr>
                <w:rFonts w:hint="eastAsia"/>
                <w:sz w:val="24"/>
              </w:rPr>
              <w:t>0.5</w:t>
            </w:r>
            <w:r>
              <w:rPr>
                <w:sz w:val="24"/>
              </w:rPr>
              <w:t>L/ m</w:t>
            </w:r>
            <w:r>
              <w:rPr>
                <w:sz w:val="24"/>
                <w:vertAlign w:val="superscript"/>
              </w:rPr>
              <w:t>2</w:t>
            </w:r>
            <w:r>
              <w:rPr>
                <w:sz w:val="24"/>
              </w:rPr>
              <w:t>·d</w:t>
            </w:r>
            <w:r>
              <w:rPr>
                <w:rFonts w:hint="eastAsia"/>
                <w:sz w:val="24"/>
              </w:rPr>
              <w:t>（1、4季度），则</w:t>
            </w:r>
            <w:r>
              <w:rPr>
                <w:sz w:val="24"/>
              </w:rPr>
              <w:t>绿化用水量为</w:t>
            </w:r>
            <w:r>
              <w:rPr>
                <w:rFonts w:hint="eastAsia"/>
                <w:sz w:val="24"/>
              </w:rPr>
              <w:t>27415</w:t>
            </w:r>
            <w:r>
              <w:rPr>
                <w:sz w:val="24"/>
              </w:rPr>
              <w:t>t/a。</w:t>
            </w:r>
          </w:p>
          <w:p>
            <w:pPr>
              <w:adjustRightInd w:val="0"/>
              <w:snapToGrid w:val="0"/>
              <w:spacing w:line="360" w:lineRule="auto"/>
              <w:ind w:firstLine="480" w:firstLineChars="200"/>
              <w:rPr>
                <w:sz w:val="24"/>
              </w:rPr>
            </w:pPr>
            <w:r>
              <w:rPr>
                <w:sz w:val="24"/>
              </w:rPr>
              <w:t>综上所述，本项目最高日用水量为</w:t>
            </w:r>
            <w:r>
              <w:rPr>
                <w:rFonts w:hint="eastAsia"/>
                <w:sz w:val="24"/>
              </w:rPr>
              <w:t>237.15</w:t>
            </w:r>
            <w:r>
              <w:rPr>
                <w:sz w:val="24"/>
              </w:rPr>
              <w:t>m</w:t>
            </w:r>
            <w:r>
              <w:rPr>
                <w:sz w:val="24"/>
                <w:vertAlign w:val="superscript"/>
              </w:rPr>
              <w:t>3</w:t>
            </w:r>
            <w:r>
              <w:rPr>
                <w:sz w:val="24"/>
              </w:rPr>
              <w:t>/ d，具体用水情况详见表</w:t>
            </w:r>
            <w:r>
              <w:rPr>
                <w:rFonts w:hint="eastAsia"/>
                <w:sz w:val="24"/>
              </w:rPr>
              <w:t>6-4</w:t>
            </w:r>
            <w:r>
              <w:rPr>
                <w:sz w:val="24"/>
              </w:rPr>
              <w:t>，</w:t>
            </w:r>
            <w:r>
              <w:rPr>
                <w:bCs/>
                <w:sz w:val="24"/>
                <w:szCs w:val="21"/>
              </w:rPr>
              <w:t>本项目废水产生情况见表6-</w:t>
            </w:r>
            <w:r>
              <w:rPr>
                <w:rFonts w:hint="eastAsia"/>
                <w:bCs/>
                <w:sz w:val="24"/>
                <w:szCs w:val="21"/>
              </w:rPr>
              <w:t>5，</w:t>
            </w:r>
            <w:r>
              <w:rPr>
                <w:sz w:val="24"/>
              </w:rPr>
              <w:t>本项目水平衡图见图</w:t>
            </w:r>
            <w:r>
              <w:rPr>
                <w:rFonts w:hint="eastAsia"/>
                <w:sz w:val="24"/>
              </w:rPr>
              <w:t>6-3</w:t>
            </w:r>
            <w:r>
              <w:rPr>
                <w:sz w:val="24"/>
              </w:rPr>
              <w:t>。</w:t>
            </w:r>
          </w:p>
          <w:p>
            <w:pPr>
              <w:adjustRightInd w:val="0"/>
              <w:snapToGrid w:val="0"/>
              <w:jc w:val="center"/>
              <w:rPr>
                <w:rFonts w:hint="eastAsia"/>
                <w:b/>
              </w:rPr>
            </w:pPr>
            <w:r>
              <w:rPr>
                <w:b/>
              </w:rPr>
              <w:t>表</w:t>
            </w:r>
            <w:r>
              <w:rPr>
                <w:rFonts w:hint="eastAsia"/>
                <w:b/>
              </w:rPr>
              <w:t>6-4</w:t>
            </w:r>
            <w:r>
              <w:rPr>
                <w:b/>
              </w:rPr>
              <w:t xml:space="preserve">  本项目用水量一览表</w:t>
            </w:r>
          </w:p>
          <w:tbl>
            <w:tblPr>
              <w:tblStyle w:val="33"/>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080"/>
              <w:gridCol w:w="1437"/>
              <w:gridCol w:w="1454"/>
              <w:gridCol w:w="902"/>
              <w:gridCol w:w="1011"/>
              <w:gridCol w:w="1112"/>
              <w:gridCol w:w="1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506" w:type="dxa"/>
                  <w:gridSpan w:val="2"/>
                  <w:vAlign w:val="center"/>
                </w:tcPr>
                <w:p>
                  <w:pPr>
                    <w:jc w:val="center"/>
                    <w:rPr>
                      <w:szCs w:val="21"/>
                      <w:shd w:val="clear" w:color="auto" w:fill="FFFFFF"/>
                    </w:rPr>
                  </w:pPr>
                  <w:r>
                    <w:rPr>
                      <w:szCs w:val="21"/>
                      <w:shd w:val="clear" w:color="auto" w:fill="FFFFFF"/>
                    </w:rPr>
                    <w:t>用水项目</w:t>
                  </w:r>
                </w:p>
              </w:tc>
              <w:tc>
                <w:tcPr>
                  <w:tcW w:w="1437" w:type="dxa"/>
                  <w:vAlign w:val="center"/>
                </w:tcPr>
                <w:p>
                  <w:pPr>
                    <w:jc w:val="center"/>
                    <w:rPr>
                      <w:rFonts w:hint="eastAsia"/>
                      <w:szCs w:val="21"/>
                      <w:shd w:val="clear" w:color="auto" w:fill="FFFFFF"/>
                    </w:rPr>
                  </w:pPr>
                  <w:r>
                    <w:rPr>
                      <w:rFonts w:hint="eastAsia"/>
                      <w:szCs w:val="21"/>
                      <w:shd w:val="clear" w:color="auto" w:fill="FFFFFF"/>
                    </w:rPr>
                    <w:t>用水标准</w:t>
                  </w:r>
                </w:p>
              </w:tc>
              <w:tc>
                <w:tcPr>
                  <w:tcW w:w="1454" w:type="dxa"/>
                  <w:vAlign w:val="center"/>
                </w:tcPr>
                <w:p>
                  <w:pPr>
                    <w:jc w:val="center"/>
                    <w:rPr>
                      <w:szCs w:val="21"/>
                      <w:shd w:val="clear" w:color="auto" w:fill="FFFFFF"/>
                    </w:rPr>
                  </w:pPr>
                  <w:r>
                    <w:rPr>
                      <w:szCs w:val="21"/>
                      <w:shd w:val="clear" w:color="auto" w:fill="FFFFFF"/>
                    </w:rPr>
                    <w:t>规模</w:t>
                  </w:r>
                </w:p>
              </w:tc>
              <w:tc>
                <w:tcPr>
                  <w:tcW w:w="902" w:type="dxa"/>
                  <w:vAlign w:val="center"/>
                </w:tcPr>
                <w:p>
                  <w:pPr>
                    <w:jc w:val="center"/>
                    <w:rPr>
                      <w:szCs w:val="21"/>
                      <w:shd w:val="clear" w:color="auto" w:fill="FFFFFF"/>
                    </w:rPr>
                  </w:pPr>
                  <w:r>
                    <w:rPr>
                      <w:rFonts w:hint="eastAsia"/>
                      <w:szCs w:val="21"/>
                      <w:shd w:val="clear" w:color="auto" w:fill="FFFFFF"/>
                    </w:rPr>
                    <w:t>年</w:t>
                  </w:r>
                  <w:r>
                    <w:rPr>
                      <w:szCs w:val="21"/>
                      <w:shd w:val="clear" w:color="auto" w:fill="FFFFFF"/>
                    </w:rPr>
                    <w:t>运行天数</w:t>
                  </w:r>
                </w:p>
              </w:tc>
              <w:tc>
                <w:tcPr>
                  <w:tcW w:w="1011" w:type="dxa"/>
                  <w:vAlign w:val="center"/>
                </w:tcPr>
                <w:p>
                  <w:pPr>
                    <w:jc w:val="center"/>
                    <w:rPr>
                      <w:szCs w:val="21"/>
                      <w:shd w:val="clear" w:color="auto" w:fill="FFFFFF"/>
                    </w:rPr>
                  </w:pPr>
                  <w:r>
                    <w:rPr>
                      <w:rFonts w:hint="eastAsia"/>
                      <w:szCs w:val="21"/>
                      <w:shd w:val="clear" w:color="auto" w:fill="FFFFFF"/>
                    </w:rPr>
                    <w:t>日用</w:t>
                  </w:r>
                  <w:r>
                    <w:rPr>
                      <w:szCs w:val="21"/>
                      <w:shd w:val="clear" w:color="auto" w:fill="FFFFFF"/>
                    </w:rPr>
                    <w:t>水量m</w:t>
                  </w:r>
                  <w:r>
                    <w:rPr>
                      <w:szCs w:val="21"/>
                      <w:shd w:val="clear" w:color="auto" w:fill="FFFFFF"/>
                      <w:vertAlign w:val="superscript"/>
                    </w:rPr>
                    <w:t>3</w:t>
                  </w:r>
                  <w:r>
                    <w:rPr>
                      <w:szCs w:val="21"/>
                      <w:shd w:val="clear" w:color="auto" w:fill="FFFFFF"/>
                    </w:rPr>
                    <w:t>/d</w:t>
                  </w:r>
                </w:p>
              </w:tc>
              <w:tc>
                <w:tcPr>
                  <w:tcW w:w="1112" w:type="dxa"/>
                  <w:vAlign w:val="center"/>
                </w:tcPr>
                <w:p>
                  <w:pPr>
                    <w:jc w:val="center"/>
                    <w:rPr>
                      <w:rFonts w:hint="eastAsia"/>
                      <w:szCs w:val="21"/>
                      <w:shd w:val="clear" w:color="auto" w:fill="FFFFFF"/>
                    </w:rPr>
                  </w:pPr>
                  <w:r>
                    <w:rPr>
                      <w:szCs w:val="21"/>
                      <w:shd w:val="clear" w:color="auto" w:fill="FFFFFF"/>
                    </w:rPr>
                    <w:t>年用水量m</w:t>
                  </w:r>
                  <w:r>
                    <w:rPr>
                      <w:szCs w:val="21"/>
                      <w:shd w:val="clear" w:color="auto" w:fill="FFFFFF"/>
                      <w:vertAlign w:val="superscript"/>
                    </w:rPr>
                    <w:t>3</w:t>
                  </w:r>
                  <w:r>
                    <w:rPr>
                      <w:szCs w:val="21"/>
                      <w:shd w:val="clear" w:color="auto" w:fill="FFFFFF"/>
                    </w:rPr>
                    <w:t>/</w:t>
                  </w:r>
                  <w:r>
                    <w:rPr>
                      <w:rFonts w:hint="eastAsia"/>
                      <w:szCs w:val="21"/>
                      <w:shd w:val="clear" w:color="auto" w:fill="FFFFFF"/>
                    </w:rPr>
                    <w:t>a</w:t>
                  </w:r>
                </w:p>
              </w:tc>
              <w:tc>
                <w:tcPr>
                  <w:tcW w:w="1128" w:type="dxa"/>
                  <w:vAlign w:val="center"/>
                </w:tcPr>
                <w:p>
                  <w:pPr>
                    <w:jc w:val="center"/>
                    <w:rPr>
                      <w:szCs w:val="21"/>
                      <w:shd w:val="clear" w:color="auto" w:fill="FFFFFF"/>
                    </w:rPr>
                  </w:pPr>
                  <w:r>
                    <w:rPr>
                      <w:szCs w:val="21"/>
                      <w:shd w:val="clear" w:color="auto" w:fill="FFFFFF"/>
                    </w:rPr>
                    <w:t>年</w:t>
                  </w:r>
                  <w:r>
                    <w:rPr>
                      <w:rFonts w:hint="eastAsia"/>
                      <w:szCs w:val="21"/>
                      <w:shd w:val="clear" w:color="auto" w:fill="FFFFFF"/>
                    </w:rPr>
                    <w:t>排水</w:t>
                  </w:r>
                  <w:r>
                    <w:rPr>
                      <w:szCs w:val="21"/>
                      <w:shd w:val="clear" w:color="auto" w:fill="FFFFFF"/>
                    </w:rPr>
                    <w:t>量m</w:t>
                  </w:r>
                  <w:r>
                    <w:rPr>
                      <w:szCs w:val="21"/>
                      <w:shd w:val="clear" w:color="auto" w:fill="FFFFFF"/>
                      <w:vertAlign w:val="superscript"/>
                    </w:rPr>
                    <w:t>3</w:t>
                  </w:r>
                  <w:r>
                    <w:rPr>
                      <w:szCs w:val="21"/>
                      <w:shd w:val="clear" w:color="auto" w:fill="FFFFFF"/>
                    </w:rPr>
                    <w:t>/</w:t>
                  </w:r>
                  <w:r>
                    <w:rPr>
                      <w:rFonts w:hint="eastAsia"/>
                      <w:szCs w:val="21"/>
                      <w:shd w:val="clear" w:color="auto" w:fill="FFFFFF"/>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506" w:type="dxa"/>
                  <w:gridSpan w:val="2"/>
                  <w:vAlign w:val="center"/>
                </w:tcPr>
                <w:p>
                  <w:pPr>
                    <w:jc w:val="center"/>
                    <w:rPr>
                      <w:szCs w:val="21"/>
                      <w:shd w:val="clear" w:color="auto" w:fill="FFFFFF"/>
                    </w:rPr>
                  </w:pPr>
                  <w:bookmarkStart w:id="10" w:name="_Hlk419276120"/>
                  <w:bookmarkStart w:id="11" w:name="_Hlk421547898"/>
                  <w:r>
                    <w:rPr>
                      <w:rFonts w:hint="eastAsia"/>
                      <w:szCs w:val="21"/>
                      <w:shd w:val="clear" w:color="auto" w:fill="FFFFFF"/>
                    </w:rPr>
                    <w:t>物流生活用水</w:t>
                  </w:r>
                </w:p>
              </w:tc>
              <w:tc>
                <w:tcPr>
                  <w:tcW w:w="1437" w:type="dxa"/>
                  <w:vAlign w:val="center"/>
                </w:tcPr>
                <w:p>
                  <w:pPr>
                    <w:jc w:val="center"/>
                    <w:rPr>
                      <w:szCs w:val="21"/>
                      <w:shd w:val="clear" w:color="auto" w:fill="FFFFFF"/>
                    </w:rPr>
                  </w:pPr>
                  <w:r>
                    <w:rPr>
                      <w:rFonts w:hint="eastAsia"/>
                      <w:szCs w:val="21"/>
                      <w:shd w:val="clear" w:color="auto" w:fill="FFFFFF"/>
                    </w:rPr>
                    <w:t>80</w:t>
                  </w:r>
                  <w:r>
                    <w:rPr>
                      <w:szCs w:val="21"/>
                      <w:shd w:val="clear" w:color="auto" w:fill="FFFFFF"/>
                    </w:rPr>
                    <w:t>L/</w:t>
                  </w:r>
                  <w:r>
                    <w:rPr>
                      <w:rFonts w:hint="eastAsia"/>
                      <w:szCs w:val="21"/>
                      <w:shd w:val="clear" w:color="auto" w:fill="FFFFFF"/>
                    </w:rPr>
                    <w:t>人</w:t>
                  </w:r>
                  <w:r>
                    <w:rPr>
                      <w:szCs w:val="21"/>
                      <w:shd w:val="clear" w:color="auto" w:fill="FFFFFF"/>
                    </w:rPr>
                    <w:t>·d</w:t>
                  </w:r>
                </w:p>
              </w:tc>
              <w:tc>
                <w:tcPr>
                  <w:tcW w:w="1454" w:type="dxa"/>
                  <w:vAlign w:val="center"/>
                </w:tcPr>
                <w:p>
                  <w:pPr>
                    <w:jc w:val="center"/>
                    <w:rPr>
                      <w:szCs w:val="21"/>
                      <w:shd w:val="clear" w:color="auto" w:fill="FFFFFF"/>
                    </w:rPr>
                  </w:pPr>
                  <w:r>
                    <w:rPr>
                      <w:rFonts w:hint="eastAsia"/>
                      <w:szCs w:val="21"/>
                      <w:shd w:val="clear" w:color="auto" w:fill="FFFFFF"/>
                    </w:rPr>
                    <w:t>600人</w:t>
                  </w:r>
                </w:p>
              </w:tc>
              <w:tc>
                <w:tcPr>
                  <w:tcW w:w="902" w:type="dxa"/>
                  <w:vAlign w:val="center"/>
                </w:tcPr>
                <w:p>
                  <w:pPr>
                    <w:jc w:val="center"/>
                    <w:rPr>
                      <w:szCs w:val="21"/>
                      <w:shd w:val="clear" w:color="auto" w:fill="FFFFFF"/>
                    </w:rPr>
                  </w:pPr>
                  <w:r>
                    <w:rPr>
                      <w:szCs w:val="21"/>
                      <w:shd w:val="clear" w:color="auto" w:fill="FFFFFF"/>
                    </w:rPr>
                    <w:t>365</w:t>
                  </w:r>
                  <w:r>
                    <w:rPr>
                      <w:rFonts w:hint="eastAsia"/>
                      <w:szCs w:val="21"/>
                      <w:shd w:val="clear" w:color="auto" w:fill="FFFFFF"/>
                    </w:rPr>
                    <w:t>天</w:t>
                  </w:r>
                </w:p>
              </w:tc>
              <w:tc>
                <w:tcPr>
                  <w:tcW w:w="1011" w:type="dxa"/>
                  <w:vAlign w:val="center"/>
                </w:tcPr>
                <w:p>
                  <w:pPr>
                    <w:jc w:val="center"/>
                    <w:rPr>
                      <w:szCs w:val="21"/>
                      <w:shd w:val="clear" w:color="auto" w:fill="FFFFFF"/>
                    </w:rPr>
                  </w:pPr>
                  <w:r>
                    <w:rPr>
                      <w:rFonts w:hint="eastAsia"/>
                      <w:szCs w:val="21"/>
                      <w:shd w:val="clear" w:color="auto" w:fill="FFFFFF"/>
                    </w:rPr>
                    <w:t>48</w:t>
                  </w:r>
                </w:p>
              </w:tc>
              <w:tc>
                <w:tcPr>
                  <w:tcW w:w="1112" w:type="dxa"/>
                  <w:vAlign w:val="center"/>
                </w:tcPr>
                <w:p>
                  <w:pPr>
                    <w:jc w:val="center"/>
                    <w:rPr>
                      <w:szCs w:val="21"/>
                      <w:shd w:val="clear" w:color="auto" w:fill="FFFFFF"/>
                    </w:rPr>
                  </w:pPr>
                  <w:r>
                    <w:rPr>
                      <w:rFonts w:hint="eastAsia"/>
                      <w:szCs w:val="21"/>
                      <w:shd w:val="clear" w:color="auto" w:fill="FFFFFF"/>
                    </w:rPr>
                    <w:t>17520</w:t>
                  </w:r>
                </w:p>
              </w:tc>
              <w:tc>
                <w:tcPr>
                  <w:tcW w:w="1128" w:type="dxa"/>
                  <w:vAlign w:val="center"/>
                </w:tcPr>
                <w:p>
                  <w:pPr>
                    <w:jc w:val="center"/>
                    <w:rPr>
                      <w:szCs w:val="21"/>
                      <w:shd w:val="clear" w:color="auto" w:fill="FFFFFF"/>
                    </w:rPr>
                  </w:pPr>
                  <w:r>
                    <w:rPr>
                      <w:rFonts w:hint="eastAsia"/>
                      <w:szCs w:val="21"/>
                      <w:shd w:val="clear" w:color="auto" w:fill="FFFFFF"/>
                    </w:rPr>
                    <w:t>14016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506" w:type="dxa"/>
                  <w:gridSpan w:val="2"/>
                  <w:vAlign w:val="center"/>
                </w:tcPr>
                <w:p>
                  <w:pPr>
                    <w:jc w:val="center"/>
                    <w:rPr>
                      <w:rFonts w:hint="eastAsia"/>
                      <w:szCs w:val="21"/>
                      <w:shd w:val="clear" w:color="auto" w:fill="FFFFFF"/>
                    </w:rPr>
                  </w:pPr>
                  <w:r>
                    <w:rPr>
                      <w:rFonts w:hint="eastAsia"/>
                      <w:szCs w:val="21"/>
                      <w:shd w:val="clear" w:color="auto" w:fill="FFFFFF"/>
                    </w:rPr>
                    <w:t>办公生活用水</w:t>
                  </w:r>
                </w:p>
              </w:tc>
              <w:tc>
                <w:tcPr>
                  <w:tcW w:w="1437" w:type="dxa"/>
                  <w:vAlign w:val="center"/>
                </w:tcPr>
                <w:p>
                  <w:pPr>
                    <w:jc w:val="center"/>
                    <w:rPr>
                      <w:szCs w:val="21"/>
                      <w:shd w:val="clear" w:color="auto" w:fill="FFFFFF"/>
                    </w:rPr>
                  </w:pPr>
                  <w:r>
                    <w:rPr>
                      <w:rFonts w:hint="eastAsia"/>
                      <w:szCs w:val="21"/>
                      <w:shd w:val="clear" w:color="auto" w:fill="FFFFFF"/>
                    </w:rPr>
                    <w:t>80</w:t>
                  </w:r>
                  <w:r>
                    <w:rPr>
                      <w:szCs w:val="21"/>
                      <w:shd w:val="clear" w:color="auto" w:fill="FFFFFF"/>
                    </w:rPr>
                    <w:t>L/</w:t>
                  </w:r>
                  <w:r>
                    <w:rPr>
                      <w:rFonts w:hint="eastAsia"/>
                      <w:szCs w:val="21"/>
                      <w:shd w:val="clear" w:color="auto" w:fill="FFFFFF"/>
                    </w:rPr>
                    <w:t>人</w:t>
                  </w:r>
                  <w:r>
                    <w:rPr>
                      <w:szCs w:val="21"/>
                      <w:shd w:val="clear" w:color="auto" w:fill="FFFFFF"/>
                    </w:rPr>
                    <w:t>·d</w:t>
                  </w:r>
                </w:p>
              </w:tc>
              <w:tc>
                <w:tcPr>
                  <w:tcW w:w="1454" w:type="dxa"/>
                  <w:vAlign w:val="center"/>
                </w:tcPr>
                <w:p>
                  <w:pPr>
                    <w:jc w:val="center"/>
                    <w:rPr>
                      <w:szCs w:val="21"/>
                      <w:shd w:val="clear" w:color="auto" w:fill="FFFFFF"/>
                    </w:rPr>
                  </w:pPr>
                  <w:r>
                    <w:rPr>
                      <w:rFonts w:hint="eastAsia"/>
                      <w:szCs w:val="21"/>
                      <w:shd w:val="clear" w:color="auto" w:fill="FFFFFF"/>
                    </w:rPr>
                    <w:t>800人</w:t>
                  </w:r>
                </w:p>
              </w:tc>
              <w:tc>
                <w:tcPr>
                  <w:tcW w:w="902" w:type="dxa"/>
                  <w:vAlign w:val="center"/>
                </w:tcPr>
                <w:p>
                  <w:pPr>
                    <w:jc w:val="center"/>
                    <w:rPr>
                      <w:szCs w:val="21"/>
                      <w:shd w:val="clear" w:color="auto" w:fill="FFFFFF"/>
                    </w:rPr>
                  </w:pPr>
                  <w:r>
                    <w:rPr>
                      <w:rFonts w:hint="eastAsia"/>
                      <w:szCs w:val="21"/>
                      <w:shd w:val="clear" w:color="auto" w:fill="FFFFFF"/>
                    </w:rPr>
                    <w:t>25</w:t>
                  </w:r>
                  <w:r>
                    <w:rPr>
                      <w:szCs w:val="21"/>
                      <w:shd w:val="clear" w:color="auto" w:fill="FFFFFF"/>
                    </w:rPr>
                    <w:t>0</w:t>
                  </w:r>
                  <w:r>
                    <w:rPr>
                      <w:rFonts w:hint="eastAsia"/>
                      <w:szCs w:val="21"/>
                      <w:shd w:val="clear" w:color="auto" w:fill="FFFFFF"/>
                    </w:rPr>
                    <w:t>天</w:t>
                  </w:r>
                </w:p>
              </w:tc>
              <w:tc>
                <w:tcPr>
                  <w:tcW w:w="1011" w:type="dxa"/>
                  <w:vAlign w:val="center"/>
                </w:tcPr>
                <w:p>
                  <w:pPr>
                    <w:jc w:val="center"/>
                    <w:rPr>
                      <w:szCs w:val="21"/>
                      <w:shd w:val="clear" w:color="auto" w:fill="FFFFFF"/>
                    </w:rPr>
                  </w:pPr>
                  <w:r>
                    <w:rPr>
                      <w:rFonts w:hint="eastAsia"/>
                      <w:szCs w:val="21"/>
                      <w:shd w:val="clear" w:color="auto" w:fill="FFFFFF"/>
                    </w:rPr>
                    <w:t>64</w:t>
                  </w:r>
                </w:p>
              </w:tc>
              <w:tc>
                <w:tcPr>
                  <w:tcW w:w="1112" w:type="dxa"/>
                  <w:vAlign w:val="center"/>
                </w:tcPr>
                <w:p>
                  <w:pPr>
                    <w:jc w:val="center"/>
                    <w:rPr>
                      <w:szCs w:val="21"/>
                      <w:shd w:val="clear" w:color="auto" w:fill="FFFFFF"/>
                    </w:rPr>
                  </w:pPr>
                  <w:r>
                    <w:rPr>
                      <w:rFonts w:hint="eastAsia"/>
                      <w:szCs w:val="21"/>
                      <w:shd w:val="clear" w:color="auto" w:fill="FFFFFF"/>
                    </w:rPr>
                    <w:t>16000</w:t>
                  </w:r>
                </w:p>
              </w:tc>
              <w:tc>
                <w:tcPr>
                  <w:tcW w:w="1128" w:type="dxa"/>
                  <w:vAlign w:val="center"/>
                </w:tcPr>
                <w:p>
                  <w:pPr>
                    <w:jc w:val="center"/>
                    <w:rPr>
                      <w:szCs w:val="21"/>
                      <w:shd w:val="clear" w:color="auto" w:fill="FFFFFF"/>
                    </w:rPr>
                  </w:pPr>
                  <w:r>
                    <w:rPr>
                      <w:rFonts w:hint="eastAsia"/>
                      <w:szCs w:val="21"/>
                      <w:shd w:val="clear" w:color="auto" w:fill="FFFFFF"/>
                    </w:rPr>
                    <w:t>12800</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426" w:type="dxa"/>
                  <w:vMerge w:val="restart"/>
                  <w:vAlign w:val="center"/>
                </w:tcPr>
                <w:p>
                  <w:pPr>
                    <w:jc w:val="center"/>
                    <w:rPr>
                      <w:rFonts w:hint="eastAsia"/>
                      <w:szCs w:val="21"/>
                      <w:shd w:val="clear" w:color="auto" w:fill="FFFFFF"/>
                    </w:rPr>
                  </w:pPr>
                  <w:r>
                    <w:rPr>
                      <w:rFonts w:hint="eastAsia"/>
                      <w:szCs w:val="21"/>
                      <w:shd w:val="clear" w:color="auto" w:fill="FFFFFF"/>
                    </w:rPr>
                    <w:t>绿化</w:t>
                  </w:r>
                </w:p>
              </w:tc>
              <w:tc>
                <w:tcPr>
                  <w:tcW w:w="1080" w:type="dxa"/>
                  <w:vAlign w:val="center"/>
                </w:tcPr>
                <w:p>
                  <w:pPr>
                    <w:jc w:val="center"/>
                    <w:rPr>
                      <w:szCs w:val="21"/>
                      <w:shd w:val="clear" w:color="auto" w:fill="FFFFFF"/>
                    </w:rPr>
                  </w:pPr>
                  <w:r>
                    <w:rPr>
                      <w:szCs w:val="21"/>
                      <w:shd w:val="clear" w:color="auto" w:fill="FFFFFF"/>
                    </w:rPr>
                    <w:t>2、3季度</w:t>
                  </w:r>
                </w:p>
              </w:tc>
              <w:tc>
                <w:tcPr>
                  <w:tcW w:w="1437" w:type="dxa"/>
                  <w:vAlign w:val="center"/>
                </w:tcPr>
                <w:p>
                  <w:pPr>
                    <w:jc w:val="center"/>
                    <w:rPr>
                      <w:szCs w:val="21"/>
                      <w:shd w:val="clear" w:color="auto" w:fill="FFFFFF"/>
                    </w:rPr>
                  </w:pPr>
                  <w:r>
                    <w:rPr>
                      <w:rFonts w:hint="eastAsia"/>
                      <w:szCs w:val="21"/>
                      <w:shd w:val="clear" w:color="auto" w:fill="FFFFFF"/>
                    </w:rPr>
                    <w:t>1.8</w:t>
                  </w:r>
                  <w:r>
                    <w:rPr>
                      <w:szCs w:val="21"/>
                      <w:shd w:val="clear" w:color="auto" w:fill="FFFFFF"/>
                    </w:rPr>
                    <w:t>L/m</w:t>
                  </w:r>
                  <w:r>
                    <w:rPr>
                      <w:szCs w:val="21"/>
                      <w:shd w:val="clear" w:color="auto" w:fill="FFFFFF"/>
                      <w:vertAlign w:val="superscript"/>
                    </w:rPr>
                    <w:t>2</w:t>
                  </w:r>
                  <w:r>
                    <w:rPr>
                      <w:szCs w:val="21"/>
                      <w:shd w:val="clear" w:color="auto" w:fill="FFFFFF"/>
                    </w:rPr>
                    <w:t>·d</w:t>
                  </w:r>
                </w:p>
              </w:tc>
              <w:tc>
                <w:tcPr>
                  <w:tcW w:w="1454" w:type="dxa"/>
                  <w:vMerge w:val="restart"/>
                  <w:vAlign w:val="center"/>
                </w:tcPr>
                <w:p>
                  <w:pPr>
                    <w:jc w:val="center"/>
                    <w:rPr>
                      <w:szCs w:val="21"/>
                      <w:shd w:val="clear" w:color="auto" w:fill="FFFFFF"/>
                    </w:rPr>
                  </w:pPr>
                  <w:r>
                    <w:rPr>
                      <w:rFonts w:hint="eastAsia"/>
                      <w:szCs w:val="21"/>
                      <w:shd w:val="clear" w:color="auto" w:fill="FFFFFF"/>
                    </w:rPr>
                    <w:t>66220.4</w:t>
                  </w:r>
                  <w:r>
                    <w:rPr>
                      <w:szCs w:val="21"/>
                      <w:shd w:val="clear" w:color="auto" w:fill="FFFFFF"/>
                    </w:rPr>
                    <w:t>m</w:t>
                  </w:r>
                  <w:r>
                    <w:rPr>
                      <w:szCs w:val="21"/>
                      <w:shd w:val="clear" w:color="auto" w:fill="FFFFFF"/>
                      <w:vertAlign w:val="superscript"/>
                    </w:rPr>
                    <w:t>2</w:t>
                  </w:r>
                </w:p>
              </w:tc>
              <w:tc>
                <w:tcPr>
                  <w:tcW w:w="902" w:type="dxa"/>
                  <w:vAlign w:val="center"/>
                </w:tcPr>
                <w:p>
                  <w:pPr>
                    <w:jc w:val="center"/>
                    <w:rPr>
                      <w:szCs w:val="21"/>
                      <w:shd w:val="clear" w:color="auto" w:fill="FFFFFF"/>
                    </w:rPr>
                  </w:pPr>
                  <w:r>
                    <w:rPr>
                      <w:szCs w:val="21"/>
                      <w:shd w:val="clear" w:color="auto" w:fill="FFFFFF"/>
                    </w:rPr>
                    <w:t>180</w:t>
                  </w:r>
                  <w:r>
                    <w:rPr>
                      <w:rFonts w:hint="eastAsia"/>
                      <w:szCs w:val="21"/>
                      <w:shd w:val="clear" w:color="auto" w:fill="FFFFFF"/>
                    </w:rPr>
                    <w:t>天</w:t>
                  </w:r>
                </w:p>
              </w:tc>
              <w:tc>
                <w:tcPr>
                  <w:tcW w:w="1011" w:type="dxa"/>
                  <w:vAlign w:val="center"/>
                </w:tcPr>
                <w:p>
                  <w:pPr>
                    <w:jc w:val="center"/>
                    <w:rPr>
                      <w:szCs w:val="21"/>
                      <w:shd w:val="clear" w:color="auto" w:fill="FFFFFF"/>
                    </w:rPr>
                  </w:pPr>
                  <w:r>
                    <w:rPr>
                      <w:rFonts w:hint="eastAsia"/>
                      <w:szCs w:val="21"/>
                      <w:shd w:val="clear" w:color="auto" w:fill="FFFFFF"/>
                    </w:rPr>
                    <w:t>119.2</w:t>
                  </w:r>
                </w:p>
              </w:tc>
              <w:tc>
                <w:tcPr>
                  <w:tcW w:w="1112" w:type="dxa"/>
                  <w:vAlign w:val="center"/>
                </w:tcPr>
                <w:p>
                  <w:pPr>
                    <w:jc w:val="center"/>
                    <w:rPr>
                      <w:szCs w:val="21"/>
                      <w:shd w:val="clear" w:color="auto" w:fill="FFFFFF"/>
                    </w:rPr>
                  </w:pPr>
                  <w:r>
                    <w:rPr>
                      <w:rFonts w:hint="eastAsia"/>
                      <w:szCs w:val="21"/>
                      <w:shd w:val="clear" w:color="auto" w:fill="FFFFFF"/>
                    </w:rPr>
                    <w:t>21455</w:t>
                  </w:r>
                </w:p>
              </w:tc>
              <w:tc>
                <w:tcPr>
                  <w:tcW w:w="1128" w:type="dxa"/>
                  <w:vAlign w:val="center"/>
                </w:tcPr>
                <w:p>
                  <w:pPr>
                    <w:jc w:val="center"/>
                    <w:rPr>
                      <w:szCs w:val="21"/>
                      <w:shd w:val="clear" w:color="auto" w:fill="FFFFFF"/>
                    </w:rPr>
                  </w:pPr>
                  <w:r>
                    <w:rPr>
                      <w:rFonts w:hint="eastAsia"/>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426" w:type="dxa"/>
                  <w:vMerge w:val="continue"/>
                  <w:vAlign w:val="center"/>
                </w:tcPr>
                <w:p>
                  <w:pPr>
                    <w:jc w:val="center"/>
                    <w:rPr>
                      <w:rFonts w:hint="eastAsia"/>
                      <w:szCs w:val="21"/>
                      <w:shd w:val="clear" w:color="auto" w:fill="FFFFFF"/>
                    </w:rPr>
                  </w:pPr>
                </w:p>
              </w:tc>
              <w:tc>
                <w:tcPr>
                  <w:tcW w:w="1080" w:type="dxa"/>
                  <w:vAlign w:val="center"/>
                </w:tcPr>
                <w:p>
                  <w:pPr>
                    <w:jc w:val="center"/>
                    <w:rPr>
                      <w:szCs w:val="21"/>
                      <w:shd w:val="clear" w:color="auto" w:fill="FFFFFF"/>
                    </w:rPr>
                  </w:pPr>
                  <w:r>
                    <w:rPr>
                      <w:szCs w:val="21"/>
                      <w:shd w:val="clear" w:color="auto" w:fill="FFFFFF"/>
                    </w:rPr>
                    <w:t>1、4季度</w:t>
                  </w:r>
                </w:p>
              </w:tc>
              <w:tc>
                <w:tcPr>
                  <w:tcW w:w="1437" w:type="dxa"/>
                  <w:vAlign w:val="center"/>
                </w:tcPr>
                <w:p>
                  <w:pPr>
                    <w:jc w:val="center"/>
                    <w:rPr>
                      <w:szCs w:val="21"/>
                      <w:shd w:val="clear" w:color="auto" w:fill="FFFFFF"/>
                    </w:rPr>
                  </w:pPr>
                  <w:r>
                    <w:rPr>
                      <w:szCs w:val="21"/>
                      <w:shd w:val="clear" w:color="auto" w:fill="FFFFFF"/>
                    </w:rPr>
                    <w:t>0.</w:t>
                  </w:r>
                  <w:r>
                    <w:rPr>
                      <w:rFonts w:hint="eastAsia"/>
                      <w:szCs w:val="21"/>
                      <w:shd w:val="clear" w:color="auto" w:fill="FFFFFF"/>
                    </w:rPr>
                    <w:t>5</w:t>
                  </w:r>
                  <w:r>
                    <w:rPr>
                      <w:szCs w:val="21"/>
                      <w:shd w:val="clear" w:color="auto" w:fill="FFFFFF"/>
                    </w:rPr>
                    <w:t xml:space="preserve"> L/m</w:t>
                  </w:r>
                  <w:r>
                    <w:rPr>
                      <w:szCs w:val="21"/>
                      <w:shd w:val="clear" w:color="auto" w:fill="FFFFFF"/>
                      <w:vertAlign w:val="superscript"/>
                    </w:rPr>
                    <w:t>2</w:t>
                  </w:r>
                  <w:r>
                    <w:rPr>
                      <w:szCs w:val="21"/>
                      <w:shd w:val="clear" w:color="auto" w:fill="FFFFFF"/>
                    </w:rPr>
                    <w:t>·d</w:t>
                  </w:r>
                </w:p>
              </w:tc>
              <w:tc>
                <w:tcPr>
                  <w:tcW w:w="1454" w:type="dxa"/>
                  <w:vMerge w:val="continue"/>
                  <w:vAlign w:val="center"/>
                </w:tcPr>
                <w:p>
                  <w:pPr>
                    <w:jc w:val="center"/>
                    <w:rPr>
                      <w:szCs w:val="21"/>
                      <w:shd w:val="clear" w:color="auto" w:fill="FFFFFF"/>
                    </w:rPr>
                  </w:pPr>
                </w:p>
              </w:tc>
              <w:tc>
                <w:tcPr>
                  <w:tcW w:w="902" w:type="dxa"/>
                  <w:vAlign w:val="center"/>
                </w:tcPr>
                <w:p>
                  <w:pPr>
                    <w:jc w:val="center"/>
                    <w:rPr>
                      <w:szCs w:val="21"/>
                      <w:shd w:val="clear" w:color="auto" w:fill="FFFFFF"/>
                    </w:rPr>
                  </w:pPr>
                  <w:r>
                    <w:rPr>
                      <w:szCs w:val="21"/>
                      <w:shd w:val="clear" w:color="auto" w:fill="FFFFFF"/>
                    </w:rPr>
                    <w:t>180</w:t>
                  </w:r>
                  <w:r>
                    <w:rPr>
                      <w:rFonts w:hint="eastAsia"/>
                      <w:szCs w:val="21"/>
                      <w:shd w:val="clear" w:color="auto" w:fill="FFFFFF"/>
                    </w:rPr>
                    <w:t>天</w:t>
                  </w:r>
                </w:p>
              </w:tc>
              <w:tc>
                <w:tcPr>
                  <w:tcW w:w="1011" w:type="dxa"/>
                  <w:vAlign w:val="center"/>
                </w:tcPr>
                <w:p>
                  <w:pPr>
                    <w:jc w:val="center"/>
                    <w:rPr>
                      <w:szCs w:val="21"/>
                      <w:shd w:val="clear" w:color="auto" w:fill="FFFFFF"/>
                    </w:rPr>
                  </w:pPr>
                  <w:r>
                    <w:rPr>
                      <w:rFonts w:hint="eastAsia"/>
                      <w:szCs w:val="21"/>
                      <w:shd w:val="clear" w:color="auto" w:fill="FFFFFF"/>
                    </w:rPr>
                    <w:t>5.95</w:t>
                  </w:r>
                </w:p>
              </w:tc>
              <w:tc>
                <w:tcPr>
                  <w:tcW w:w="1112" w:type="dxa"/>
                  <w:vAlign w:val="center"/>
                </w:tcPr>
                <w:p>
                  <w:pPr>
                    <w:jc w:val="center"/>
                    <w:rPr>
                      <w:szCs w:val="21"/>
                      <w:shd w:val="clear" w:color="auto" w:fill="FFFFFF"/>
                    </w:rPr>
                  </w:pPr>
                  <w:r>
                    <w:rPr>
                      <w:rFonts w:hint="eastAsia"/>
                      <w:szCs w:val="21"/>
                      <w:shd w:val="clear" w:color="auto" w:fill="FFFFFF"/>
                    </w:rPr>
                    <w:t>5960</w:t>
                  </w:r>
                </w:p>
              </w:tc>
              <w:tc>
                <w:tcPr>
                  <w:tcW w:w="1128" w:type="dxa"/>
                  <w:vAlign w:val="center"/>
                </w:tcPr>
                <w:p>
                  <w:pPr>
                    <w:jc w:val="center"/>
                    <w:rPr>
                      <w:szCs w:val="21"/>
                      <w:shd w:val="clear" w:color="auto" w:fill="FFFFFF"/>
                    </w:rPr>
                  </w:pPr>
                  <w:r>
                    <w:rPr>
                      <w:rFonts w:hint="eastAsia"/>
                      <w:szCs w:val="21"/>
                      <w:shd w:val="clear" w:color="auto" w:fill="FFFFFF"/>
                    </w:rPr>
                    <w:t>/</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506" w:type="dxa"/>
                  <w:gridSpan w:val="2"/>
                  <w:vAlign w:val="center"/>
                </w:tcPr>
                <w:p>
                  <w:pPr>
                    <w:jc w:val="center"/>
                    <w:rPr>
                      <w:szCs w:val="21"/>
                      <w:shd w:val="clear" w:color="auto" w:fill="FFFFFF"/>
                    </w:rPr>
                  </w:pPr>
                  <w:r>
                    <w:rPr>
                      <w:szCs w:val="21"/>
                      <w:shd w:val="clear" w:color="auto" w:fill="FFFFFF"/>
                    </w:rPr>
                    <w:t>合计</w:t>
                  </w:r>
                </w:p>
              </w:tc>
              <w:tc>
                <w:tcPr>
                  <w:tcW w:w="1437" w:type="dxa"/>
                  <w:vAlign w:val="center"/>
                </w:tcPr>
                <w:p>
                  <w:pPr>
                    <w:jc w:val="center"/>
                    <w:rPr>
                      <w:szCs w:val="21"/>
                      <w:shd w:val="clear" w:color="auto" w:fill="FFFFFF"/>
                    </w:rPr>
                  </w:pPr>
                  <w:r>
                    <w:rPr>
                      <w:szCs w:val="21"/>
                      <w:shd w:val="clear" w:color="auto" w:fill="FFFFFF"/>
                    </w:rPr>
                    <w:t>/</w:t>
                  </w:r>
                </w:p>
              </w:tc>
              <w:tc>
                <w:tcPr>
                  <w:tcW w:w="1454" w:type="dxa"/>
                  <w:vAlign w:val="center"/>
                </w:tcPr>
                <w:p>
                  <w:pPr>
                    <w:jc w:val="center"/>
                    <w:rPr>
                      <w:szCs w:val="21"/>
                      <w:shd w:val="clear" w:color="auto" w:fill="FFFFFF"/>
                    </w:rPr>
                  </w:pPr>
                  <w:r>
                    <w:rPr>
                      <w:szCs w:val="21"/>
                      <w:shd w:val="clear" w:color="auto" w:fill="FFFFFF"/>
                    </w:rPr>
                    <w:t>/</w:t>
                  </w:r>
                </w:p>
              </w:tc>
              <w:tc>
                <w:tcPr>
                  <w:tcW w:w="902" w:type="dxa"/>
                  <w:vAlign w:val="center"/>
                </w:tcPr>
                <w:p>
                  <w:pPr>
                    <w:jc w:val="center"/>
                    <w:rPr>
                      <w:szCs w:val="21"/>
                      <w:shd w:val="clear" w:color="auto" w:fill="FFFFFF"/>
                    </w:rPr>
                  </w:pPr>
                  <w:r>
                    <w:rPr>
                      <w:szCs w:val="21"/>
                      <w:shd w:val="clear" w:color="auto" w:fill="FFFFFF"/>
                    </w:rPr>
                    <w:t>/</w:t>
                  </w:r>
                </w:p>
              </w:tc>
              <w:tc>
                <w:tcPr>
                  <w:tcW w:w="1011" w:type="dxa"/>
                  <w:vAlign w:val="center"/>
                </w:tcPr>
                <w:p>
                  <w:pPr>
                    <w:jc w:val="center"/>
                    <w:rPr>
                      <w:szCs w:val="21"/>
                      <w:shd w:val="clear" w:color="auto" w:fill="FFFFFF"/>
                    </w:rPr>
                  </w:pPr>
                  <w:r>
                    <w:rPr>
                      <w:rFonts w:hint="eastAsia"/>
                      <w:szCs w:val="21"/>
                      <w:shd w:val="clear" w:color="auto" w:fill="FFFFFF"/>
                    </w:rPr>
                    <w:t>237.15</w:t>
                  </w:r>
                </w:p>
              </w:tc>
              <w:tc>
                <w:tcPr>
                  <w:tcW w:w="1112" w:type="dxa"/>
                  <w:vAlign w:val="center"/>
                </w:tcPr>
                <w:p>
                  <w:pPr>
                    <w:jc w:val="center"/>
                    <w:rPr>
                      <w:szCs w:val="21"/>
                      <w:shd w:val="clear" w:color="auto" w:fill="FFFFFF"/>
                    </w:rPr>
                  </w:pPr>
                  <w:r>
                    <w:rPr>
                      <w:rFonts w:hint="eastAsia"/>
                      <w:szCs w:val="21"/>
                      <w:shd w:val="clear" w:color="auto" w:fill="FFFFFF"/>
                    </w:rPr>
                    <w:t>60935</w:t>
                  </w:r>
                </w:p>
              </w:tc>
              <w:tc>
                <w:tcPr>
                  <w:tcW w:w="1128" w:type="dxa"/>
                  <w:vAlign w:val="center"/>
                </w:tcPr>
                <w:p>
                  <w:pPr>
                    <w:jc w:val="center"/>
                    <w:rPr>
                      <w:szCs w:val="21"/>
                      <w:shd w:val="clear" w:color="auto" w:fill="FFFFFF"/>
                    </w:rPr>
                  </w:pPr>
                  <w:r>
                    <w:rPr>
                      <w:rFonts w:hint="eastAsia"/>
                      <w:szCs w:val="21"/>
                      <w:shd w:val="clear" w:color="auto" w:fill="FFFFFF"/>
                    </w:rPr>
                    <w:t>26816</w:t>
                  </w:r>
                </w:p>
              </w:tc>
            </w:tr>
          </w:tbl>
          <w:p>
            <w:pPr>
              <w:adjustRightInd w:val="0"/>
              <w:snapToGrid w:val="0"/>
              <w:jc w:val="center"/>
              <w:rPr>
                <w:rFonts w:hint="eastAsia"/>
                <w:b/>
              </w:rPr>
            </w:pPr>
            <w:r>
              <w:object>
                <v:shape id="_x0000_i1027" o:spt="75" type="#_x0000_t75" style="height:109.9pt;width:415.05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7" DrawAspect="Content" ObjectID="_1468075726" r:id="rId12"/>
              </w:object>
            </w:r>
          </w:p>
          <w:p>
            <w:pPr>
              <w:spacing w:line="360" w:lineRule="auto"/>
              <w:jc w:val="center"/>
              <w:rPr>
                <w:b/>
              </w:rPr>
            </w:pPr>
            <w:r>
              <w:rPr>
                <w:b/>
                <w:sz w:val="24"/>
              </w:rPr>
              <w:t>图6-</w:t>
            </w:r>
            <w:r>
              <w:rPr>
                <w:rFonts w:hint="eastAsia"/>
                <w:b/>
                <w:sz w:val="24"/>
              </w:rPr>
              <w:t>3</w:t>
            </w:r>
            <w:r>
              <w:rPr>
                <w:b/>
                <w:sz w:val="24"/>
              </w:rPr>
              <w:t xml:space="preserve"> 本项目水平衡图（单位：t/a）</w:t>
            </w:r>
          </w:p>
          <w:p>
            <w:pPr>
              <w:adjustRightInd w:val="0"/>
              <w:snapToGrid w:val="0"/>
              <w:ind w:firstLine="442" w:firstLineChars="200"/>
              <w:jc w:val="center"/>
              <w:rPr>
                <w:b/>
                <w:snapToGrid w:val="0"/>
                <w:kern w:val="0"/>
                <w:sz w:val="22"/>
              </w:rPr>
            </w:pPr>
            <w:r>
              <w:rPr>
                <w:b/>
                <w:snapToGrid w:val="0"/>
                <w:kern w:val="0"/>
                <w:sz w:val="22"/>
              </w:rPr>
              <w:t>表6-</w:t>
            </w:r>
            <w:r>
              <w:rPr>
                <w:rFonts w:hint="eastAsia"/>
                <w:b/>
                <w:snapToGrid w:val="0"/>
                <w:kern w:val="0"/>
                <w:sz w:val="22"/>
              </w:rPr>
              <w:t>5</w:t>
            </w:r>
            <w:r>
              <w:rPr>
                <w:b/>
                <w:snapToGrid w:val="0"/>
                <w:kern w:val="0"/>
                <w:sz w:val="22"/>
              </w:rPr>
              <w:t xml:space="preserve"> 项目废水产生情况</w:t>
            </w:r>
          </w:p>
          <w:tbl>
            <w:tblPr>
              <w:tblStyle w:val="33"/>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666"/>
              <w:gridCol w:w="669"/>
              <w:gridCol w:w="606"/>
              <w:gridCol w:w="669"/>
              <w:gridCol w:w="852"/>
              <w:gridCol w:w="710"/>
              <w:gridCol w:w="597"/>
              <w:gridCol w:w="679"/>
              <w:gridCol w:w="710"/>
              <w:gridCol w:w="706"/>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废水来源</w:t>
                  </w:r>
                </w:p>
              </w:tc>
              <w:tc>
                <w:tcPr>
                  <w:tcW w:w="666"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废水量</w:t>
                  </w:r>
                </w:p>
                <w:p>
                  <w:pPr>
                    <w:adjustRightInd w:val="0"/>
                    <w:snapToGrid w:val="0"/>
                    <w:spacing w:line="320" w:lineRule="exact"/>
                    <w:jc w:val="center"/>
                    <w:rPr>
                      <w:color w:val="000000"/>
                      <w:sz w:val="18"/>
                      <w:szCs w:val="21"/>
                    </w:rPr>
                  </w:pPr>
                  <w:r>
                    <w:rPr>
                      <w:color w:val="000000"/>
                      <w:sz w:val="18"/>
                      <w:szCs w:val="21"/>
                    </w:rPr>
                    <w:t>m</w:t>
                  </w:r>
                  <w:r>
                    <w:rPr>
                      <w:color w:val="000000"/>
                      <w:sz w:val="18"/>
                      <w:szCs w:val="21"/>
                      <w:vertAlign w:val="superscript"/>
                    </w:rPr>
                    <w:t>3</w:t>
                  </w:r>
                  <w:r>
                    <w:rPr>
                      <w:color w:val="000000"/>
                      <w:sz w:val="18"/>
                      <w:szCs w:val="21"/>
                    </w:rPr>
                    <w:t>/a</w:t>
                  </w:r>
                </w:p>
              </w:tc>
              <w:tc>
                <w:tcPr>
                  <w:tcW w:w="1944" w:type="dxa"/>
                  <w:gridSpan w:val="3"/>
                  <w:shd w:val="clear" w:color="auto" w:fill="auto"/>
                  <w:vAlign w:val="center"/>
                </w:tcPr>
                <w:p>
                  <w:pPr>
                    <w:adjustRightInd w:val="0"/>
                    <w:snapToGrid w:val="0"/>
                    <w:spacing w:line="320" w:lineRule="exact"/>
                    <w:jc w:val="center"/>
                    <w:rPr>
                      <w:color w:val="000000"/>
                      <w:sz w:val="18"/>
                      <w:szCs w:val="21"/>
                    </w:rPr>
                  </w:pPr>
                  <w:r>
                    <w:rPr>
                      <w:color w:val="000000"/>
                      <w:sz w:val="18"/>
                      <w:szCs w:val="21"/>
                    </w:rPr>
                    <w:t>污染物产生量</w:t>
                  </w:r>
                </w:p>
              </w:tc>
              <w:tc>
                <w:tcPr>
                  <w:tcW w:w="852"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治理措施</w:t>
                  </w:r>
                </w:p>
              </w:tc>
              <w:tc>
                <w:tcPr>
                  <w:tcW w:w="710"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接管</w:t>
                  </w:r>
                </w:p>
                <w:p>
                  <w:pPr>
                    <w:adjustRightInd w:val="0"/>
                    <w:snapToGrid w:val="0"/>
                    <w:spacing w:line="320" w:lineRule="exact"/>
                    <w:jc w:val="center"/>
                    <w:rPr>
                      <w:color w:val="000000"/>
                      <w:sz w:val="18"/>
                      <w:szCs w:val="21"/>
                    </w:rPr>
                  </w:pPr>
                  <w:r>
                    <w:rPr>
                      <w:color w:val="000000"/>
                      <w:sz w:val="18"/>
                      <w:szCs w:val="21"/>
                    </w:rPr>
                    <w:t>废水量</w:t>
                  </w:r>
                </w:p>
                <w:p>
                  <w:pPr>
                    <w:adjustRightInd w:val="0"/>
                    <w:snapToGrid w:val="0"/>
                    <w:spacing w:line="320" w:lineRule="exact"/>
                    <w:jc w:val="center"/>
                    <w:rPr>
                      <w:color w:val="000000"/>
                      <w:sz w:val="18"/>
                      <w:szCs w:val="21"/>
                    </w:rPr>
                  </w:pPr>
                  <w:r>
                    <w:rPr>
                      <w:color w:val="000000"/>
                      <w:sz w:val="18"/>
                      <w:szCs w:val="21"/>
                    </w:rPr>
                    <w:t>m</w:t>
                  </w:r>
                  <w:r>
                    <w:rPr>
                      <w:color w:val="000000"/>
                      <w:sz w:val="18"/>
                      <w:szCs w:val="21"/>
                      <w:vertAlign w:val="superscript"/>
                    </w:rPr>
                    <w:t>3</w:t>
                  </w:r>
                  <w:r>
                    <w:rPr>
                      <w:color w:val="000000"/>
                      <w:sz w:val="18"/>
                      <w:szCs w:val="21"/>
                    </w:rPr>
                    <w:t>/a</w:t>
                  </w:r>
                </w:p>
              </w:tc>
              <w:tc>
                <w:tcPr>
                  <w:tcW w:w="1986" w:type="dxa"/>
                  <w:gridSpan w:val="3"/>
                  <w:shd w:val="clear" w:color="auto" w:fill="auto"/>
                  <w:vAlign w:val="center"/>
                </w:tcPr>
                <w:p>
                  <w:pPr>
                    <w:adjustRightInd w:val="0"/>
                    <w:snapToGrid w:val="0"/>
                    <w:spacing w:line="320" w:lineRule="exact"/>
                    <w:jc w:val="center"/>
                    <w:rPr>
                      <w:color w:val="000000"/>
                      <w:sz w:val="18"/>
                      <w:szCs w:val="21"/>
                    </w:rPr>
                  </w:pPr>
                  <w:r>
                    <w:rPr>
                      <w:color w:val="000000"/>
                      <w:sz w:val="18"/>
                      <w:szCs w:val="21"/>
                    </w:rPr>
                    <w:t>污染物排放量</w:t>
                  </w:r>
                </w:p>
              </w:tc>
              <w:tc>
                <w:tcPr>
                  <w:tcW w:w="706"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接管浓度限值</w:t>
                  </w:r>
                </w:p>
                <w:p>
                  <w:pPr>
                    <w:adjustRightInd w:val="0"/>
                    <w:snapToGrid w:val="0"/>
                    <w:spacing w:line="320" w:lineRule="exact"/>
                    <w:jc w:val="center"/>
                    <w:rPr>
                      <w:color w:val="000000"/>
                      <w:sz w:val="18"/>
                      <w:szCs w:val="21"/>
                    </w:rPr>
                  </w:pPr>
                  <w:r>
                    <w:rPr>
                      <w:color w:val="000000"/>
                      <w:sz w:val="18"/>
                      <w:szCs w:val="21"/>
                    </w:rPr>
                    <w:t>mg/L</w:t>
                  </w:r>
                </w:p>
              </w:tc>
              <w:tc>
                <w:tcPr>
                  <w:tcW w:w="1183"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外排去向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3" w:type="dxa"/>
                  <w:vMerge w:val="continue"/>
                  <w:shd w:val="clear" w:color="auto" w:fill="auto"/>
                  <w:vAlign w:val="center"/>
                </w:tcPr>
                <w:p>
                  <w:pPr>
                    <w:adjustRightInd w:val="0"/>
                    <w:snapToGrid w:val="0"/>
                    <w:spacing w:line="320" w:lineRule="exact"/>
                    <w:jc w:val="center"/>
                    <w:rPr>
                      <w:color w:val="000000"/>
                      <w:sz w:val="18"/>
                      <w:szCs w:val="21"/>
                    </w:rPr>
                  </w:pPr>
                </w:p>
              </w:tc>
              <w:tc>
                <w:tcPr>
                  <w:tcW w:w="666" w:type="dxa"/>
                  <w:vMerge w:val="continue"/>
                  <w:shd w:val="clear" w:color="auto" w:fill="auto"/>
                  <w:vAlign w:val="center"/>
                </w:tcPr>
                <w:p>
                  <w:pPr>
                    <w:adjustRightInd w:val="0"/>
                    <w:snapToGrid w:val="0"/>
                    <w:spacing w:line="320" w:lineRule="exact"/>
                    <w:jc w:val="center"/>
                    <w:rPr>
                      <w:color w:val="000000"/>
                      <w:sz w:val="18"/>
                      <w:szCs w:val="21"/>
                    </w:rPr>
                  </w:pP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污染物</w:t>
                  </w:r>
                </w:p>
                <w:p>
                  <w:pPr>
                    <w:adjustRightInd w:val="0"/>
                    <w:snapToGrid w:val="0"/>
                    <w:spacing w:line="320" w:lineRule="exact"/>
                    <w:jc w:val="center"/>
                    <w:rPr>
                      <w:color w:val="000000"/>
                      <w:sz w:val="18"/>
                      <w:szCs w:val="21"/>
                    </w:rPr>
                  </w:pPr>
                  <w:r>
                    <w:rPr>
                      <w:color w:val="000000"/>
                      <w:sz w:val="18"/>
                      <w:szCs w:val="21"/>
                    </w:rPr>
                    <w:t>名称</w:t>
                  </w:r>
                </w:p>
              </w:tc>
              <w:tc>
                <w:tcPr>
                  <w:tcW w:w="606"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浓度</w:t>
                  </w:r>
                </w:p>
                <w:p>
                  <w:pPr>
                    <w:adjustRightInd w:val="0"/>
                    <w:snapToGrid w:val="0"/>
                    <w:spacing w:line="320" w:lineRule="exact"/>
                    <w:jc w:val="center"/>
                    <w:rPr>
                      <w:color w:val="000000"/>
                      <w:sz w:val="18"/>
                      <w:szCs w:val="21"/>
                    </w:rPr>
                  </w:pPr>
                  <w:r>
                    <w:rPr>
                      <w:color w:val="000000"/>
                      <w:sz w:val="18"/>
                      <w:szCs w:val="21"/>
                    </w:rPr>
                    <w:t>mg/L</w:t>
                  </w: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产生量</w:t>
                  </w:r>
                </w:p>
                <w:p>
                  <w:pPr>
                    <w:adjustRightInd w:val="0"/>
                    <w:snapToGrid w:val="0"/>
                    <w:spacing w:line="320" w:lineRule="exact"/>
                    <w:jc w:val="center"/>
                    <w:rPr>
                      <w:color w:val="000000"/>
                      <w:sz w:val="18"/>
                      <w:szCs w:val="21"/>
                    </w:rPr>
                  </w:pPr>
                  <w:r>
                    <w:rPr>
                      <w:color w:val="000000"/>
                      <w:sz w:val="18"/>
                      <w:szCs w:val="21"/>
                    </w:rPr>
                    <w:t>t/a</w:t>
                  </w:r>
                </w:p>
              </w:tc>
              <w:tc>
                <w:tcPr>
                  <w:tcW w:w="852" w:type="dxa"/>
                  <w:vMerge w:val="continue"/>
                  <w:shd w:val="clear" w:color="auto" w:fill="auto"/>
                  <w:vAlign w:val="center"/>
                </w:tcPr>
                <w:p>
                  <w:pPr>
                    <w:adjustRightInd w:val="0"/>
                    <w:snapToGrid w:val="0"/>
                    <w:spacing w:line="320" w:lineRule="exact"/>
                    <w:jc w:val="center"/>
                    <w:rPr>
                      <w:color w:val="000000"/>
                      <w:sz w:val="18"/>
                      <w:szCs w:val="21"/>
                    </w:rPr>
                  </w:pPr>
                </w:p>
              </w:tc>
              <w:tc>
                <w:tcPr>
                  <w:tcW w:w="710" w:type="dxa"/>
                  <w:vMerge w:val="continue"/>
                  <w:shd w:val="clear" w:color="auto" w:fill="auto"/>
                  <w:vAlign w:val="center"/>
                </w:tcPr>
                <w:p>
                  <w:pPr>
                    <w:adjustRightInd w:val="0"/>
                    <w:snapToGrid w:val="0"/>
                    <w:spacing w:line="320" w:lineRule="exact"/>
                    <w:jc w:val="center"/>
                    <w:rPr>
                      <w:color w:val="000000"/>
                      <w:sz w:val="18"/>
                      <w:szCs w:val="21"/>
                    </w:rPr>
                  </w:pPr>
                </w:p>
              </w:tc>
              <w:tc>
                <w:tcPr>
                  <w:tcW w:w="597"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污染物</w:t>
                  </w:r>
                </w:p>
                <w:p>
                  <w:pPr>
                    <w:adjustRightInd w:val="0"/>
                    <w:snapToGrid w:val="0"/>
                    <w:spacing w:line="320" w:lineRule="exact"/>
                    <w:jc w:val="center"/>
                    <w:rPr>
                      <w:color w:val="000000"/>
                      <w:sz w:val="18"/>
                      <w:szCs w:val="21"/>
                    </w:rPr>
                  </w:pPr>
                  <w:r>
                    <w:rPr>
                      <w:color w:val="000000"/>
                      <w:sz w:val="18"/>
                      <w:szCs w:val="21"/>
                    </w:rPr>
                    <w:t>名称</w:t>
                  </w:r>
                </w:p>
              </w:tc>
              <w:tc>
                <w:tcPr>
                  <w:tcW w:w="67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浓度</w:t>
                  </w:r>
                </w:p>
                <w:p>
                  <w:pPr>
                    <w:adjustRightInd w:val="0"/>
                    <w:snapToGrid w:val="0"/>
                    <w:spacing w:line="320" w:lineRule="exact"/>
                    <w:jc w:val="center"/>
                    <w:rPr>
                      <w:color w:val="000000"/>
                      <w:sz w:val="18"/>
                      <w:szCs w:val="21"/>
                    </w:rPr>
                  </w:pPr>
                  <w:r>
                    <w:rPr>
                      <w:color w:val="000000"/>
                      <w:sz w:val="18"/>
                      <w:szCs w:val="21"/>
                    </w:rPr>
                    <w:t>mg/L</w:t>
                  </w:r>
                </w:p>
              </w:tc>
              <w:tc>
                <w:tcPr>
                  <w:tcW w:w="710"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接管量</w:t>
                  </w:r>
                </w:p>
                <w:p>
                  <w:pPr>
                    <w:adjustRightInd w:val="0"/>
                    <w:snapToGrid w:val="0"/>
                    <w:spacing w:line="320" w:lineRule="exact"/>
                    <w:jc w:val="center"/>
                    <w:rPr>
                      <w:color w:val="000000"/>
                      <w:sz w:val="18"/>
                      <w:szCs w:val="21"/>
                    </w:rPr>
                  </w:pPr>
                  <w:r>
                    <w:rPr>
                      <w:color w:val="000000"/>
                      <w:sz w:val="18"/>
                      <w:szCs w:val="21"/>
                    </w:rPr>
                    <w:t>t/a</w:t>
                  </w:r>
                </w:p>
              </w:tc>
              <w:tc>
                <w:tcPr>
                  <w:tcW w:w="706" w:type="dxa"/>
                  <w:vMerge w:val="continue"/>
                  <w:shd w:val="clear" w:color="auto" w:fill="auto"/>
                  <w:vAlign w:val="center"/>
                </w:tcPr>
                <w:p>
                  <w:pPr>
                    <w:adjustRightInd w:val="0"/>
                    <w:snapToGrid w:val="0"/>
                    <w:spacing w:line="320" w:lineRule="exact"/>
                    <w:jc w:val="center"/>
                    <w:rPr>
                      <w:color w:val="000000"/>
                      <w:sz w:val="18"/>
                      <w:szCs w:val="21"/>
                    </w:rPr>
                  </w:pPr>
                </w:p>
              </w:tc>
              <w:tc>
                <w:tcPr>
                  <w:tcW w:w="1183" w:type="dxa"/>
                  <w:vMerge w:val="continue"/>
                  <w:shd w:val="clear" w:color="auto" w:fill="auto"/>
                  <w:vAlign w:val="center"/>
                </w:tcPr>
                <w:p>
                  <w:pPr>
                    <w:adjustRightInd w:val="0"/>
                    <w:snapToGrid w:val="0"/>
                    <w:spacing w:line="320" w:lineRule="exact"/>
                    <w:jc w:val="center"/>
                    <w:rPr>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trPr>
              <w:tc>
                <w:tcPr>
                  <w:tcW w:w="503" w:type="dxa"/>
                  <w:vMerge w:val="restart"/>
                  <w:shd w:val="clear" w:color="auto" w:fill="auto"/>
                  <w:vAlign w:val="center"/>
                </w:tcPr>
                <w:p>
                  <w:pPr>
                    <w:adjustRightInd w:val="0"/>
                    <w:snapToGrid w:val="0"/>
                    <w:spacing w:line="320" w:lineRule="exact"/>
                    <w:jc w:val="center"/>
                    <w:rPr>
                      <w:color w:val="000000"/>
                      <w:sz w:val="18"/>
                      <w:szCs w:val="21"/>
                    </w:rPr>
                  </w:pPr>
                  <w:bookmarkStart w:id="12" w:name="OLE_LINK12" w:colFirst="4" w:colLast="4"/>
                  <w:bookmarkStart w:id="13" w:name="OLE_LINK3" w:colFirst="8" w:colLast="8"/>
                  <w:bookmarkStart w:id="14" w:name="OLE_LINK4" w:colFirst="8" w:colLast="8"/>
                  <w:bookmarkStart w:id="15" w:name="_Hlk428467917"/>
                  <w:r>
                    <w:rPr>
                      <w:color w:val="000000"/>
                      <w:sz w:val="18"/>
                      <w:szCs w:val="21"/>
                    </w:rPr>
                    <w:t>生活污水</w:t>
                  </w:r>
                </w:p>
              </w:tc>
              <w:tc>
                <w:tcPr>
                  <w:tcW w:w="666" w:type="dxa"/>
                  <w:vMerge w:val="restart"/>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26816</w:t>
                  </w: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COD</w:t>
                  </w:r>
                </w:p>
              </w:tc>
              <w:tc>
                <w:tcPr>
                  <w:tcW w:w="606" w:type="dxa"/>
                  <w:shd w:val="clear" w:color="auto" w:fill="auto"/>
                  <w:vAlign w:val="center"/>
                </w:tcPr>
                <w:p>
                  <w:pPr>
                    <w:adjustRightInd w:val="0"/>
                    <w:snapToGrid w:val="0"/>
                    <w:spacing w:line="320" w:lineRule="exact"/>
                    <w:jc w:val="center"/>
                    <w:rPr>
                      <w:sz w:val="18"/>
                      <w:szCs w:val="21"/>
                    </w:rPr>
                  </w:pPr>
                  <w:r>
                    <w:rPr>
                      <w:sz w:val="18"/>
                      <w:szCs w:val="21"/>
                    </w:rPr>
                    <w:t>350</w:t>
                  </w:r>
                </w:p>
              </w:tc>
              <w:tc>
                <w:tcPr>
                  <w:tcW w:w="669" w:type="dxa"/>
                  <w:shd w:val="clear" w:color="auto" w:fill="auto"/>
                  <w:vAlign w:val="center"/>
                </w:tcPr>
                <w:p>
                  <w:pPr>
                    <w:jc w:val="center"/>
                    <w:rPr>
                      <w:sz w:val="18"/>
                      <w:szCs w:val="21"/>
                    </w:rPr>
                  </w:pPr>
                  <w:r>
                    <w:rPr>
                      <w:rFonts w:hint="eastAsia"/>
                      <w:sz w:val="18"/>
                      <w:szCs w:val="21"/>
                    </w:rPr>
                    <w:t>9.39</w:t>
                  </w:r>
                </w:p>
              </w:tc>
              <w:tc>
                <w:tcPr>
                  <w:tcW w:w="852" w:type="dxa"/>
                  <w:vMerge w:val="restart"/>
                  <w:shd w:val="clear" w:color="auto" w:fill="auto"/>
                  <w:vAlign w:val="center"/>
                </w:tcPr>
                <w:p>
                  <w:pPr>
                    <w:adjustRightInd w:val="0"/>
                    <w:snapToGrid w:val="0"/>
                    <w:spacing w:line="320" w:lineRule="exact"/>
                    <w:jc w:val="center"/>
                    <w:rPr>
                      <w:color w:val="000000"/>
                      <w:sz w:val="18"/>
                      <w:szCs w:val="21"/>
                    </w:rPr>
                  </w:pPr>
                  <w:r>
                    <w:rPr>
                      <w:color w:val="000000"/>
                      <w:sz w:val="18"/>
                      <w:szCs w:val="21"/>
                    </w:rPr>
                    <w:t>由化粪池预处理，达标后接管</w:t>
                  </w:r>
                  <w:r>
                    <w:rPr>
                      <w:rFonts w:hint="eastAsia"/>
                      <w:color w:val="000000"/>
                      <w:sz w:val="18"/>
                      <w:szCs w:val="21"/>
                    </w:rPr>
                    <w:t>城南</w:t>
                  </w:r>
                  <w:r>
                    <w:rPr>
                      <w:color w:val="000000"/>
                      <w:sz w:val="18"/>
                      <w:szCs w:val="21"/>
                    </w:rPr>
                    <w:t>污水处理厂</w:t>
                  </w:r>
                </w:p>
              </w:tc>
              <w:tc>
                <w:tcPr>
                  <w:tcW w:w="710" w:type="dxa"/>
                  <w:vMerge w:val="restart"/>
                  <w:shd w:val="clear" w:color="auto" w:fill="auto"/>
                  <w:vAlign w:val="center"/>
                </w:tcPr>
                <w:p>
                  <w:pPr>
                    <w:adjustRightInd w:val="0"/>
                    <w:snapToGrid w:val="0"/>
                    <w:spacing w:line="320" w:lineRule="exact"/>
                    <w:jc w:val="center"/>
                    <w:rPr>
                      <w:color w:val="000000"/>
                      <w:sz w:val="18"/>
                      <w:szCs w:val="21"/>
                    </w:rPr>
                  </w:pPr>
                  <w:r>
                    <w:rPr>
                      <w:rFonts w:hint="eastAsia"/>
                      <w:color w:val="000000"/>
                      <w:sz w:val="18"/>
                      <w:szCs w:val="21"/>
                    </w:rPr>
                    <w:t>26816</w:t>
                  </w:r>
                </w:p>
              </w:tc>
              <w:tc>
                <w:tcPr>
                  <w:tcW w:w="597"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COD</w:t>
                  </w:r>
                </w:p>
              </w:tc>
              <w:tc>
                <w:tcPr>
                  <w:tcW w:w="679" w:type="dxa"/>
                  <w:shd w:val="clear" w:color="auto" w:fill="auto"/>
                  <w:vAlign w:val="center"/>
                </w:tcPr>
                <w:p>
                  <w:pPr>
                    <w:adjustRightInd w:val="0"/>
                    <w:snapToGrid w:val="0"/>
                    <w:spacing w:line="320" w:lineRule="exact"/>
                    <w:jc w:val="center"/>
                    <w:rPr>
                      <w:sz w:val="18"/>
                      <w:szCs w:val="21"/>
                    </w:rPr>
                  </w:pPr>
                  <w:r>
                    <w:rPr>
                      <w:sz w:val="18"/>
                      <w:szCs w:val="21"/>
                    </w:rPr>
                    <w:t>300</w:t>
                  </w:r>
                </w:p>
              </w:tc>
              <w:tc>
                <w:tcPr>
                  <w:tcW w:w="710" w:type="dxa"/>
                  <w:shd w:val="clear" w:color="auto" w:fill="auto"/>
                  <w:vAlign w:val="center"/>
                </w:tcPr>
                <w:p>
                  <w:pPr>
                    <w:jc w:val="center"/>
                    <w:rPr>
                      <w:sz w:val="18"/>
                      <w:szCs w:val="21"/>
                    </w:rPr>
                  </w:pPr>
                  <w:r>
                    <w:rPr>
                      <w:rFonts w:hint="eastAsia"/>
                      <w:sz w:val="18"/>
                      <w:szCs w:val="21"/>
                    </w:rPr>
                    <w:t>8.04</w:t>
                  </w:r>
                </w:p>
              </w:tc>
              <w:tc>
                <w:tcPr>
                  <w:tcW w:w="706"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≤500</w:t>
                  </w:r>
                </w:p>
              </w:tc>
              <w:tc>
                <w:tcPr>
                  <w:tcW w:w="1183" w:type="dxa"/>
                  <w:vMerge w:val="restart"/>
                  <w:shd w:val="clear" w:color="auto" w:fill="auto"/>
                  <w:vAlign w:val="center"/>
                </w:tcPr>
                <w:p>
                  <w:pPr>
                    <w:adjustRightInd w:val="0"/>
                    <w:snapToGrid w:val="0"/>
                    <w:spacing w:line="320" w:lineRule="exact"/>
                    <w:jc w:val="center"/>
                    <w:rPr>
                      <w:color w:val="000000"/>
                      <w:sz w:val="18"/>
                      <w:szCs w:val="21"/>
                    </w:rPr>
                  </w:pPr>
                  <w:r>
                    <w:rPr>
                      <w:snapToGrid w:val="0"/>
                      <w:color w:val="000000"/>
                      <w:sz w:val="18"/>
                      <w:szCs w:val="18"/>
                    </w:rPr>
                    <w:t>达</w:t>
                  </w:r>
                  <w:r>
                    <w:rPr>
                      <w:rFonts w:hint="eastAsia"/>
                      <w:snapToGrid w:val="0"/>
                      <w:color w:val="000000"/>
                      <w:sz w:val="18"/>
                      <w:szCs w:val="18"/>
                    </w:rPr>
                    <w:t>《污水排入城市下水道水质标准》（CJ 343-2010）中B等级</w:t>
                  </w:r>
                  <w:r>
                    <w:rPr>
                      <w:snapToGrid w:val="0"/>
                      <w:color w:val="000000"/>
                      <w:sz w:val="18"/>
                      <w:szCs w:val="18"/>
                    </w:rPr>
                    <w:t>标准后</w:t>
                  </w:r>
                  <w:r>
                    <w:rPr>
                      <w:rFonts w:hint="eastAsia"/>
                      <w:snapToGrid w:val="0"/>
                      <w:color w:val="000000"/>
                      <w:sz w:val="18"/>
                      <w:szCs w:val="18"/>
                    </w:rPr>
                    <w:t>接管</w:t>
                  </w:r>
                  <w:r>
                    <w:rPr>
                      <w:rFonts w:hint="eastAsia"/>
                      <w:color w:val="000000"/>
                      <w:sz w:val="18"/>
                      <w:szCs w:val="21"/>
                    </w:rPr>
                    <w:t>城南</w:t>
                  </w:r>
                  <w:r>
                    <w:rPr>
                      <w:color w:val="000000"/>
                      <w:sz w:val="18"/>
                      <w:szCs w:val="21"/>
                    </w:rPr>
                    <w:t>污水处理厂处理，最终排入</w:t>
                  </w:r>
                  <w:r>
                    <w:rPr>
                      <w:rFonts w:hint="eastAsia"/>
                      <w:sz w:val="18"/>
                      <w:szCs w:val="21"/>
                    </w:rPr>
                    <w:t>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trPr>
              <w:tc>
                <w:tcPr>
                  <w:tcW w:w="503" w:type="dxa"/>
                  <w:vMerge w:val="continue"/>
                  <w:shd w:val="clear" w:color="auto" w:fill="auto"/>
                  <w:vAlign w:val="center"/>
                </w:tcPr>
                <w:p>
                  <w:pPr>
                    <w:adjustRightInd w:val="0"/>
                    <w:snapToGrid w:val="0"/>
                    <w:spacing w:line="320" w:lineRule="exact"/>
                    <w:jc w:val="center"/>
                    <w:rPr>
                      <w:color w:val="000000"/>
                      <w:sz w:val="18"/>
                      <w:szCs w:val="21"/>
                    </w:rPr>
                  </w:pPr>
                </w:p>
              </w:tc>
              <w:tc>
                <w:tcPr>
                  <w:tcW w:w="666" w:type="dxa"/>
                  <w:vMerge w:val="continue"/>
                  <w:shd w:val="clear" w:color="auto" w:fill="auto"/>
                  <w:vAlign w:val="center"/>
                </w:tcPr>
                <w:p>
                  <w:pPr>
                    <w:adjustRightInd w:val="0"/>
                    <w:snapToGrid w:val="0"/>
                    <w:spacing w:line="320" w:lineRule="exact"/>
                    <w:jc w:val="center"/>
                    <w:rPr>
                      <w:color w:val="000000"/>
                      <w:sz w:val="18"/>
                      <w:szCs w:val="21"/>
                    </w:rPr>
                  </w:pP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SS</w:t>
                  </w:r>
                </w:p>
              </w:tc>
              <w:tc>
                <w:tcPr>
                  <w:tcW w:w="606" w:type="dxa"/>
                  <w:shd w:val="clear" w:color="auto" w:fill="auto"/>
                  <w:vAlign w:val="center"/>
                </w:tcPr>
                <w:p>
                  <w:pPr>
                    <w:adjustRightInd w:val="0"/>
                    <w:snapToGrid w:val="0"/>
                    <w:spacing w:line="320" w:lineRule="exact"/>
                    <w:jc w:val="center"/>
                    <w:rPr>
                      <w:sz w:val="18"/>
                      <w:szCs w:val="21"/>
                    </w:rPr>
                  </w:pPr>
                  <w:r>
                    <w:rPr>
                      <w:sz w:val="18"/>
                      <w:szCs w:val="21"/>
                    </w:rPr>
                    <w:t>250</w:t>
                  </w:r>
                </w:p>
              </w:tc>
              <w:tc>
                <w:tcPr>
                  <w:tcW w:w="669" w:type="dxa"/>
                  <w:shd w:val="clear" w:color="auto" w:fill="auto"/>
                  <w:vAlign w:val="center"/>
                </w:tcPr>
                <w:p>
                  <w:pPr>
                    <w:jc w:val="center"/>
                    <w:rPr>
                      <w:sz w:val="18"/>
                      <w:szCs w:val="21"/>
                    </w:rPr>
                  </w:pPr>
                  <w:r>
                    <w:rPr>
                      <w:rFonts w:hint="eastAsia"/>
                      <w:sz w:val="18"/>
                      <w:szCs w:val="21"/>
                    </w:rPr>
                    <w:t>6.7</w:t>
                  </w:r>
                </w:p>
              </w:tc>
              <w:tc>
                <w:tcPr>
                  <w:tcW w:w="852" w:type="dxa"/>
                  <w:vMerge w:val="continue"/>
                  <w:shd w:val="clear" w:color="auto" w:fill="auto"/>
                  <w:vAlign w:val="center"/>
                </w:tcPr>
                <w:p>
                  <w:pPr>
                    <w:adjustRightInd w:val="0"/>
                    <w:snapToGrid w:val="0"/>
                    <w:spacing w:line="320" w:lineRule="exact"/>
                    <w:jc w:val="center"/>
                    <w:rPr>
                      <w:color w:val="000000"/>
                      <w:sz w:val="18"/>
                      <w:szCs w:val="21"/>
                    </w:rPr>
                  </w:pPr>
                </w:p>
              </w:tc>
              <w:tc>
                <w:tcPr>
                  <w:tcW w:w="710" w:type="dxa"/>
                  <w:vMerge w:val="continue"/>
                  <w:shd w:val="clear" w:color="auto" w:fill="auto"/>
                  <w:vAlign w:val="center"/>
                </w:tcPr>
                <w:p>
                  <w:pPr>
                    <w:adjustRightInd w:val="0"/>
                    <w:snapToGrid w:val="0"/>
                    <w:spacing w:line="320" w:lineRule="exact"/>
                    <w:jc w:val="center"/>
                    <w:rPr>
                      <w:color w:val="000000"/>
                      <w:sz w:val="18"/>
                      <w:szCs w:val="21"/>
                    </w:rPr>
                  </w:pPr>
                </w:p>
              </w:tc>
              <w:tc>
                <w:tcPr>
                  <w:tcW w:w="597"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SS</w:t>
                  </w:r>
                </w:p>
              </w:tc>
              <w:tc>
                <w:tcPr>
                  <w:tcW w:w="679" w:type="dxa"/>
                  <w:shd w:val="clear" w:color="auto" w:fill="auto"/>
                  <w:vAlign w:val="center"/>
                </w:tcPr>
                <w:p>
                  <w:pPr>
                    <w:adjustRightInd w:val="0"/>
                    <w:snapToGrid w:val="0"/>
                    <w:spacing w:line="320" w:lineRule="exact"/>
                    <w:jc w:val="center"/>
                    <w:rPr>
                      <w:sz w:val="18"/>
                      <w:szCs w:val="21"/>
                    </w:rPr>
                  </w:pPr>
                  <w:r>
                    <w:rPr>
                      <w:sz w:val="18"/>
                      <w:szCs w:val="21"/>
                    </w:rPr>
                    <w:t>175</w:t>
                  </w:r>
                </w:p>
              </w:tc>
              <w:tc>
                <w:tcPr>
                  <w:tcW w:w="710" w:type="dxa"/>
                  <w:shd w:val="clear" w:color="auto" w:fill="auto"/>
                  <w:vAlign w:val="center"/>
                </w:tcPr>
                <w:p>
                  <w:pPr>
                    <w:jc w:val="center"/>
                    <w:rPr>
                      <w:sz w:val="18"/>
                      <w:szCs w:val="21"/>
                    </w:rPr>
                  </w:pPr>
                  <w:r>
                    <w:rPr>
                      <w:rFonts w:hint="eastAsia"/>
                      <w:sz w:val="18"/>
                      <w:szCs w:val="21"/>
                    </w:rPr>
                    <w:t>4.69</w:t>
                  </w:r>
                </w:p>
              </w:tc>
              <w:tc>
                <w:tcPr>
                  <w:tcW w:w="706"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≤400</w:t>
                  </w:r>
                </w:p>
              </w:tc>
              <w:tc>
                <w:tcPr>
                  <w:tcW w:w="1183" w:type="dxa"/>
                  <w:vMerge w:val="continue"/>
                  <w:shd w:val="clear" w:color="auto" w:fill="auto"/>
                  <w:vAlign w:val="center"/>
                </w:tcPr>
                <w:p>
                  <w:pPr>
                    <w:adjustRightInd w:val="0"/>
                    <w:snapToGrid w:val="0"/>
                    <w:spacing w:line="320" w:lineRule="exact"/>
                    <w:jc w:val="center"/>
                    <w:rPr>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4" w:hRule="atLeast"/>
              </w:trPr>
              <w:tc>
                <w:tcPr>
                  <w:tcW w:w="503" w:type="dxa"/>
                  <w:vMerge w:val="continue"/>
                  <w:shd w:val="clear" w:color="auto" w:fill="auto"/>
                  <w:vAlign w:val="center"/>
                </w:tcPr>
                <w:p>
                  <w:pPr>
                    <w:adjustRightInd w:val="0"/>
                    <w:snapToGrid w:val="0"/>
                    <w:spacing w:line="320" w:lineRule="exact"/>
                    <w:jc w:val="center"/>
                    <w:rPr>
                      <w:color w:val="000000"/>
                      <w:sz w:val="18"/>
                      <w:szCs w:val="21"/>
                    </w:rPr>
                  </w:pPr>
                </w:p>
              </w:tc>
              <w:tc>
                <w:tcPr>
                  <w:tcW w:w="666" w:type="dxa"/>
                  <w:vMerge w:val="continue"/>
                  <w:shd w:val="clear" w:color="auto" w:fill="auto"/>
                  <w:vAlign w:val="center"/>
                </w:tcPr>
                <w:p>
                  <w:pPr>
                    <w:adjustRightInd w:val="0"/>
                    <w:snapToGrid w:val="0"/>
                    <w:spacing w:line="320" w:lineRule="exact"/>
                    <w:jc w:val="center"/>
                    <w:rPr>
                      <w:color w:val="000000"/>
                      <w:sz w:val="18"/>
                      <w:szCs w:val="21"/>
                    </w:rPr>
                  </w:pP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氨氮</w:t>
                  </w:r>
                </w:p>
              </w:tc>
              <w:tc>
                <w:tcPr>
                  <w:tcW w:w="606" w:type="dxa"/>
                  <w:shd w:val="clear" w:color="auto" w:fill="auto"/>
                  <w:vAlign w:val="center"/>
                </w:tcPr>
                <w:p>
                  <w:pPr>
                    <w:adjustRightInd w:val="0"/>
                    <w:snapToGrid w:val="0"/>
                    <w:spacing w:line="320" w:lineRule="exact"/>
                    <w:jc w:val="center"/>
                    <w:rPr>
                      <w:sz w:val="18"/>
                      <w:szCs w:val="21"/>
                    </w:rPr>
                  </w:pPr>
                  <w:r>
                    <w:rPr>
                      <w:sz w:val="18"/>
                      <w:szCs w:val="21"/>
                    </w:rPr>
                    <w:t>30</w:t>
                  </w:r>
                </w:p>
              </w:tc>
              <w:tc>
                <w:tcPr>
                  <w:tcW w:w="669" w:type="dxa"/>
                  <w:shd w:val="clear" w:color="auto" w:fill="auto"/>
                  <w:vAlign w:val="center"/>
                </w:tcPr>
                <w:p>
                  <w:pPr>
                    <w:jc w:val="center"/>
                    <w:rPr>
                      <w:sz w:val="18"/>
                      <w:szCs w:val="21"/>
                    </w:rPr>
                  </w:pPr>
                  <w:r>
                    <w:rPr>
                      <w:rFonts w:hint="eastAsia"/>
                      <w:sz w:val="18"/>
                      <w:szCs w:val="21"/>
                    </w:rPr>
                    <w:t>0.80</w:t>
                  </w:r>
                </w:p>
              </w:tc>
              <w:tc>
                <w:tcPr>
                  <w:tcW w:w="852" w:type="dxa"/>
                  <w:vMerge w:val="continue"/>
                  <w:shd w:val="clear" w:color="auto" w:fill="auto"/>
                  <w:vAlign w:val="center"/>
                </w:tcPr>
                <w:p>
                  <w:pPr>
                    <w:adjustRightInd w:val="0"/>
                    <w:snapToGrid w:val="0"/>
                    <w:spacing w:line="320" w:lineRule="exact"/>
                    <w:jc w:val="center"/>
                    <w:rPr>
                      <w:color w:val="000000"/>
                      <w:sz w:val="18"/>
                      <w:szCs w:val="21"/>
                    </w:rPr>
                  </w:pPr>
                </w:p>
              </w:tc>
              <w:tc>
                <w:tcPr>
                  <w:tcW w:w="710" w:type="dxa"/>
                  <w:vMerge w:val="continue"/>
                  <w:shd w:val="clear" w:color="auto" w:fill="auto"/>
                  <w:vAlign w:val="center"/>
                </w:tcPr>
                <w:p>
                  <w:pPr>
                    <w:adjustRightInd w:val="0"/>
                    <w:snapToGrid w:val="0"/>
                    <w:spacing w:line="320" w:lineRule="exact"/>
                    <w:jc w:val="center"/>
                    <w:rPr>
                      <w:color w:val="000000"/>
                      <w:sz w:val="18"/>
                      <w:szCs w:val="21"/>
                    </w:rPr>
                  </w:pPr>
                </w:p>
              </w:tc>
              <w:tc>
                <w:tcPr>
                  <w:tcW w:w="597"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氨氮</w:t>
                  </w:r>
                </w:p>
              </w:tc>
              <w:tc>
                <w:tcPr>
                  <w:tcW w:w="679" w:type="dxa"/>
                  <w:shd w:val="clear" w:color="auto" w:fill="auto"/>
                  <w:vAlign w:val="center"/>
                </w:tcPr>
                <w:p>
                  <w:pPr>
                    <w:adjustRightInd w:val="0"/>
                    <w:snapToGrid w:val="0"/>
                    <w:spacing w:line="320" w:lineRule="exact"/>
                    <w:jc w:val="center"/>
                    <w:rPr>
                      <w:sz w:val="18"/>
                      <w:szCs w:val="21"/>
                    </w:rPr>
                  </w:pPr>
                  <w:r>
                    <w:rPr>
                      <w:rFonts w:hint="eastAsia"/>
                      <w:sz w:val="18"/>
                      <w:szCs w:val="21"/>
                    </w:rPr>
                    <w:t>28</w:t>
                  </w:r>
                </w:p>
              </w:tc>
              <w:tc>
                <w:tcPr>
                  <w:tcW w:w="710" w:type="dxa"/>
                  <w:shd w:val="clear" w:color="auto" w:fill="auto"/>
                  <w:vAlign w:val="center"/>
                </w:tcPr>
                <w:p>
                  <w:pPr>
                    <w:jc w:val="center"/>
                    <w:rPr>
                      <w:sz w:val="18"/>
                      <w:szCs w:val="21"/>
                    </w:rPr>
                  </w:pPr>
                  <w:r>
                    <w:rPr>
                      <w:rFonts w:hint="eastAsia"/>
                      <w:sz w:val="18"/>
                      <w:szCs w:val="21"/>
                    </w:rPr>
                    <w:t>0.75</w:t>
                  </w:r>
                </w:p>
              </w:tc>
              <w:tc>
                <w:tcPr>
                  <w:tcW w:w="706"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≤45</w:t>
                  </w:r>
                </w:p>
              </w:tc>
              <w:tc>
                <w:tcPr>
                  <w:tcW w:w="1183" w:type="dxa"/>
                  <w:vMerge w:val="continue"/>
                  <w:shd w:val="clear" w:color="auto" w:fill="auto"/>
                  <w:vAlign w:val="center"/>
                </w:tcPr>
                <w:p>
                  <w:pPr>
                    <w:adjustRightInd w:val="0"/>
                    <w:snapToGrid w:val="0"/>
                    <w:spacing w:line="320" w:lineRule="exact"/>
                    <w:jc w:val="center"/>
                    <w:rPr>
                      <w:color w:val="000000"/>
                      <w:sz w:val="18"/>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503" w:type="dxa"/>
                  <w:vMerge w:val="continue"/>
                  <w:shd w:val="clear" w:color="auto" w:fill="auto"/>
                  <w:vAlign w:val="center"/>
                </w:tcPr>
                <w:p>
                  <w:pPr>
                    <w:adjustRightInd w:val="0"/>
                    <w:snapToGrid w:val="0"/>
                    <w:spacing w:line="320" w:lineRule="exact"/>
                    <w:jc w:val="center"/>
                    <w:rPr>
                      <w:color w:val="000000"/>
                      <w:sz w:val="18"/>
                      <w:szCs w:val="21"/>
                    </w:rPr>
                  </w:pPr>
                </w:p>
              </w:tc>
              <w:tc>
                <w:tcPr>
                  <w:tcW w:w="666" w:type="dxa"/>
                  <w:vMerge w:val="continue"/>
                  <w:shd w:val="clear" w:color="auto" w:fill="auto"/>
                  <w:vAlign w:val="center"/>
                </w:tcPr>
                <w:p>
                  <w:pPr>
                    <w:adjustRightInd w:val="0"/>
                    <w:snapToGrid w:val="0"/>
                    <w:spacing w:line="320" w:lineRule="exact"/>
                    <w:jc w:val="center"/>
                    <w:rPr>
                      <w:color w:val="000000"/>
                      <w:sz w:val="18"/>
                      <w:szCs w:val="21"/>
                    </w:rPr>
                  </w:pPr>
                </w:p>
              </w:tc>
              <w:tc>
                <w:tcPr>
                  <w:tcW w:w="669"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总磷</w:t>
                  </w:r>
                </w:p>
              </w:tc>
              <w:tc>
                <w:tcPr>
                  <w:tcW w:w="606" w:type="dxa"/>
                  <w:shd w:val="clear" w:color="auto" w:fill="auto"/>
                  <w:vAlign w:val="center"/>
                </w:tcPr>
                <w:p>
                  <w:pPr>
                    <w:adjustRightInd w:val="0"/>
                    <w:snapToGrid w:val="0"/>
                    <w:spacing w:line="320" w:lineRule="exact"/>
                    <w:jc w:val="center"/>
                    <w:rPr>
                      <w:sz w:val="18"/>
                      <w:szCs w:val="21"/>
                    </w:rPr>
                  </w:pPr>
                  <w:r>
                    <w:rPr>
                      <w:rFonts w:hint="eastAsia"/>
                      <w:sz w:val="18"/>
                      <w:szCs w:val="21"/>
                    </w:rPr>
                    <w:t>5</w:t>
                  </w:r>
                </w:p>
              </w:tc>
              <w:tc>
                <w:tcPr>
                  <w:tcW w:w="669" w:type="dxa"/>
                  <w:shd w:val="clear" w:color="auto" w:fill="auto"/>
                  <w:vAlign w:val="center"/>
                </w:tcPr>
                <w:p>
                  <w:pPr>
                    <w:jc w:val="center"/>
                    <w:rPr>
                      <w:sz w:val="18"/>
                      <w:szCs w:val="21"/>
                    </w:rPr>
                  </w:pPr>
                  <w:r>
                    <w:rPr>
                      <w:rFonts w:hint="eastAsia"/>
                      <w:sz w:val="18"/>
                      <w:szCs w:val="21"/>
                    </w:rPr>
                    <w:t>0.13</w:t>
                  </w:r>
                </w:p>
              </w:tc>
              <w:tc>
                <w:tcPr>
                  <w:tcW w:w="852" w:type="dxa"/>
                  <w:vMerge w:val="continue"/>
                  <w:shd w:val="clear" w:color="auto" w:fill="auto"/>
                  <w:vAlign w:val="center"/>
                </w:tcPr>
                <w:p>
                  <w:pPr>
                    <w:adjustRightInd w:val="0"/>
                    <w:snapToGrid w:val="0"/>
                    <w:spacing w:line="320" w:lineRule="exact"/>
                    <w:jc w:val="center"/>
                    <w:rPr>
                      <w:color w:val="000000"/>
                      <w:sz w:val="18"/>
                      <w:szCs w:val="21"/>
                    </w:rPr>
                  </w:pPr>
                </w:p>
              </w:tc>
              <w:tc>
                <w:tcPr>
                  <w:tcW w:w="710" w:type="dxa"/>
                  <w:vMerge w:val="continue"/>
                  <w:shd w:val="clear" w:color="auto" w:fill="auto"/>
                  <w:vAlign w:val="center"/>
                </w:tcPr>
                <w:p>
                  <w:pPr>
                    <w:adjustRightInd w:val="0"/>
                    <w:snapToGrid w:val="0"/>
                    <w:spacing w:line="320" w:lineRule="exact"/>
                    <w:jc w:val="center"/>
                    <w:rPr>
                      <w:color w:val="000000"/>
                      <w:sz w:val="18"/>
                      <w:szCs w:val="21"/>
                    </w:rPr>
                  </w:pPr>
                </w:p>
              </w:tc>
              <w:tc>
                <w:tcPr>
                  <w:tcW w:w="597"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TP</w:t>
                  </w:r>
                </w:p>
              </w:tc>
              <w:tc>
                <w:tcPr>
                  <w:tcW w:w="679" w:type="dxa"/>
                  <w:shd w:val="clear" w:color="auto" w:fill="auto"/>
                  <w:vAlign w:val="center"/>
                </w:tcPr>
                <w:p>
                  <w:pPr>
                    <w:adjustRightInd w:val="0"/>
                    <w:snapToGrid w:val="0"/>
                    <w:spacing w:line="320" w:lineRule="exact"/>
                    <w:jc w:val="center"/>
                    <w:rPr>
                      <w:sz w:val="18"/>
                      <w:szCs w:val="21"/>
                    </w:rPr>
                  </w:pPr>
                  <w:r>
                    <w:rPr>
                      <w:sz w:val="18"/>
                      <w:szCs w:val="21"/>
                    </w:rPr>
                    <w:t>3.5</w:t>
                  </w:r>
                </w:p>
              </w:tc>
              <w:tc>
                <w:tcPr>
                  <w:tcW w:w="710" w:type="dxa"/>
                  <w:shd w:val="clear" w:color="auto" w:fill="auto"/>
                  <w:vAlign w:val="center"/>
                </w:tcPr>
                <w:p>
                  <w:pPr>
                    <w:jc w:val="center"/>
                    <w:rPr>
                      <w:sz w:val="18"/>
                      <w:szCs w:val="21"/>
                    </w:rPr>
                  </w:pPr>
                  <w:r>
                    <w:rPr>
                      <w:rFonts w:hint="eastAsia"/>
                      <w:sz w:val="18"/>
                      <w:szCs w:val="21"/>
                    </w:rPr>
                    <w:t>0.09</w:t>
                  </w:r>
                </w:p>
              </w:tc>
              <w:tc>
                <w:tcPr>
                  <w:tcW w:w="706" w:type="dxa"/>
                  <w:shd w:val="clear" w:color="auto" w:fill="auto"/>
                  <w:vAlign w:val="center"/>
                </w:tcPr>
                <w:p>
                  <w:pPr>
                    <w:adjustRightInd w:val="0"/>
                    <w:snapToGrid w:val="0"/>
                    <w:spacing w:line="320" w:lineRule="exact"/>
                    <w:jc w:val="center"/>
                    <w:rPr>
                      <w:color w:val="000000"/>
                      <w:sz w:val="18"/>
                      <w:szCs w:val="21"/>
                    </w:rPr>
                  </w:pPr>
                  <w:r>
                    <w:rPr>
                      <w:color w:val="000000"/>
                      <w:sz w:val="18"/>
                      <w:szCs w:val="21"/>
                    </w:rPr>
                    <w:t>≤8</w:t>
                  </w:r>
                </w:p>
              </w:tc>
              <w:tc>
                <w:tcPr>
                  <w:tcW w:w="1183" w:type="dxa"/>
                  <w:vMerge w:val="continue"/>
                  <w:shd w:val="clear" w:color="auto" w:fill="auto"/>
                  <w:vAlign w:val="center"/>
                </w:tcPr>
                <w:p>
                  <w:pPr>
                    <w:adjustRightInd w:val="0"/>
                    <w:snapToGrid w:val="0"/>
                    <w:spacing w:line="320" w:lineRule="exact"/>
                    <w:jc w:val="center"/>
                    <w:rPr>
                      <w:color w:val="000000"/>
                      <w:sz w:val="18"/>
                      <w:szCs w:val="21"/>
                    </w:rPr>
                  </w:pPr>
                </w:p>
              </w:tc>
            </w:tr>
            <w:bookmarkEnd w:id="12"/>
            <w:bookmarkEnd w:id="13"/>
            <w:bookmarkEnd w:id="14"/>
            <w:bookmarkEnd w:id="15"/>
          </w:tbl>
          <w:p>
            <w:pPr>
              <w:pStyle w:val="17"/>
              <w:adjustRightInd w:val="0"/>
              <w:snapToGrid w:val="0"/>
              <w:spacing w:line="360" w:lineRule="auto"/>
              <w:ind w:firstLine="480" w:firstLineChars="200"/>
              <w:rPr>
                <w:rFonts w:ascii="Times New Roman" w:hAnsi="Times New Roman"/>
                <w:bCs/>
                <w:sz w:val="24"/>
              </w:rPr>
            </w:pPr>
            <w:r>
              <w:rPr>
                <w:rFonts w:ascii="Times New Roman" w:hAnsi="Times New Roman"/>
                <w:bCs/>
                <w:sz w:val="24"/>
              </w:rPr>
              <w:t>3、固体废弃物</w:t>
            </w:r>
          </w:p>
          <w:p>
            <w:pPr>
              <w:spacing w:line="360" w:lineRule="auto"/>
              <w:ind w:firstLine="480" w:firstLineChars="200"/>
              <w:rPr>
                <w:sz w:val="24"/>
              </w:rPr>
            </w:pPr>
            <w:r>
              <w:rPr>
                <w:sz w:val="24"/>
              </w:rPr>
              <w:t>本项目固体废物主要有</w:t>
            </w:r>
            <w:r>
              <w:rPr>
                <w:rFonts w:hint="eastAsia"/>
                <w:sz w:val="24"/>
              </w:rPr>
              <w:t>废包装</w:t>
            </w:r>
            <w:r>
              <w:rPr>
                <w:sz w:val="24"/>
              </w:rPr>
              <w:t>、员工的生活垃圾</w:t>
            </w:r>
            <w:r>
              <w:rPr>
                <w:rFonts w:hint="eastAsia"/>
                <w:sz w:val="24"/>
              </w:rPr>
              <w:t>、办公垃圾、废机油</w:t>
            </w:r>
            <w:r>
              <w:rPr>
                <w:sz w:val="24"/>
              </w:rPr>
              <w:t>等。</w:t>
            </w:r>
          </w:p>
          <w:p>
            <w:pPr>
              <w:spacing w:line="360" w:lineRule="auto"/>
              <w:ind w:firstLine="480" w:firstLineChars="200"/>
              <w:rPr>
                <w:bCs/>
                <w:sz w:val="24"/>
              </w:rPr>
            </w:pPr>
            <w:r>
              <w:rPr>
                <w:bCs/>
                <w:sz w:val="24"/>
              </w:rPr>
              <w:t>（1）</w:t>
            </w:r>
            <w:r>
              <w:rPr>
                <w:rFonts w:hint="eastAsia"/>
                <w:bCs/>
                <w:sz w:val="24"/>
              </w:rPr>
              <w:t>废包装</w:t>
            </w:r>
            <w:r>
              <w:rPr>
                <w:bCs/>
                <w:sz w:val="24"/>
              </w:rPr>
              <w:t>：</w:t>
            </w:r>
            <w:r>
              <w:rPr>
                <w:rFonts w:hint="eastAsia"/>
                <w:bCs/>
                <w:sz w:val="24"/>
              </w:rPr>
              <w:t>主要是商品在分包过程中产生的废包装物，主要成分为纸壳、塑料等，</w:t>
            </w:r>
            <w:r>
              <w:rPr>
                <w:bCs/>
                <w:sz w:val="24"/>
              </w:rPr>
              <w:t>产生</w:t>
            </w:r>
            <w:r>
              <w:rPr>
                <w:rFonts w:hint="eastAsia"/>
                <w:bCs/>
                <w:sz w:val="24"/>
              </w:rPr>
              <w:t>量</w:t>
            </w:r>
            <w:r>
              <w:rPr>
                <w:bCs/>
                <w:sz w:val="24"/>
              </w:rPr>
              <w:t>约</w:t>
            </w:r>
            <w:r>
              <w:rPr>
                <w:rFonts w:hint="eastAsia"/>
                <w:bCs/>
                <w:sz w:val="24"/>
              </w:rPr>
              <w:t>35.8</w:t>
            </w:r>
            <w:r>
              <w:rPr>
                <w:bCs/>
                <w:sz w:val="24"/>
              </w:rPr>
              <w:t>t/a，经收集后外售。</w:t>
            </w:r>
          </w:p>
          <w:p>
            <w:pPr>
              <w:spacing w:line="360" w:lineRule="auto"/>
              <w:ind w:firstLine="480" w:firstLineChars="200"/>
              <w:rPr>
                <w:rFonts w:hint="eastAsia"/>
                <w:bCs/>
                <w:sz w:val="24"/>
              </w:rPr>
            </w:pPr>
            <w:r>
              <w:rPr>
                <w:bCs/>
                <w:sz w:val="24"/>
              </w:rPr>
              <w:t>（2）</w:t>
            </w:r>
            <w:r>
              <w:rPr>
                <w:rFonts w:hint="eastAsia"/>
                <w:bCs/>
                <w:sz w:val="24"/>
              </w:rPr>
              <w:t>生活垃圾：</w:t>
            </w:r>
            <w:r>
              <w:rPr>
                <w:bCs/>
                <w:sz w:val="24"/>
              </w:rPr>
              <w:t>本项目定员</w:t>
            </w:r>
            <w:r>
              <w:rPr>
                <w:rFonts w:hint="eastAsia"/>
                <w:bCs/>
                <w:sz w:val="24"/>
              </w:rPr>
              <w:t>14</w:t>
            </w:r>
            <w:r>
              <w:rPr>
                <w:bCs/>
                <w:sz w:val="24"/>
              </w:rPr>
              <w:t>00人，生活垃圾的产生量按0.</w:t>
            </w:r>
            <w:r>
              <w:rPr>
                <w:rFonts w:hint="eastAsia"/>
                <w:bCs/>
                <w:sz w:val="24"/>
              </w:rPr>
              <w:t>3</w:t>
            </w:r>
            <w:r>
              <w:rPr>
                <w:bCs/>
                <w:sz w:val="24"/>
              </w:rPr>
              <w:t>kg/人·日计</w:t>
            </w:r>
            <w:r>
              <w:rPr>
                <w:bCs/>
                <w:sz w:val="24"/>
                <w:szCs w:val="21"/>
              </w:rPr>
              <w:t>（</w:t>
            </w:r>
            <w:r>
              <w:rPr>
                <w:rFonts w:hint="eastAsia"/>
                <w:bCs/>
                <w:sz w:val="24"/>
                <w:szCs w:val="21"/>
              </w:rPr>
              <w:t>物流配送人员</w:t>
            </w:r>
            <w:r>
              <w:rPr>
                <w:bCs/>
                <w:sz w:val="24"/>
                <w:szCs w:val="21"/>
              </w:rPr>
              <w:t>一年按</w:t>
            </w:r>
            <w:r>
              <w:rPr>
                <w:rFonts w:hint="eastAsia"/>
                <w:bCs/>
                <w:sz w:val="24"/>
                <w:szCs w:val="21"/>
              </w:rPr>
              <w:t>365</w:t>
            </w:r>
            <w:r>
              <w:rPr>
                <w:bCs/>
                <w:sz w:val="24"/>
                <w:szCs w:val="21"/>
              </w:rPr>
              <w:t>天计</w:t>
            </w:r>
            <w:r>
              <w:rPr>
                <w:rFonts w:hint="eastAsia"/>
                <w:bCs/>
                <w:sz w:val="24"/>
                <w:szCs w:val="21"/>
              </w:rPr>
              <w:t>，研发办公人员按250天计</w:t>
            </w:r>
            <w:r>
              <w:rPr>
                <w:bCs/>
                <w:sz w:val="24"/>
                <w:szCs w:val="21"/>
              </w:rPr>
              <w:t>）</w:t>
            </w:r>
            <w:r>
              <w:rPr>
                <w:bCs/>
                <w:sz w:val="24"/>
              </w:rPr>
              <w:t>，产生量为</w:t>
            </w:r>
            <w:r>
              <w:rPr>
                <w:rFonts w:hint="eastAsia"/>
                <w:bCs/>
                <w:sz w:val="24"/>
              </w:rPr>
              <w:t>125.7</w:t>
            </w:r>
            <w:r>
              <w:rPr>
                <w:bCs/>
                <w:sz w:val="24"/>
              </w:rPr>
              <w:t>t/a。</w:t>
            </w:r>
          </w:p>
          <w:p>
            <w:pPr>
              <w:spacing w:line="360" w:lineRule="auto"/>
              <w:ind w:firstLine="480" w:firstLineChars="200"/>
              <w:rPr>
                <w:rFonts w:hint="eastAsia"/>
                <w:bCs/>
                <w:sz w:val="24"/>
              </w:rPr>
            </w:pPr>
            <w:r>
              <w:rPr>
                <w:rFonts w:hint="eastAsia"/>
                <w:bCs/>
                <w:sz w:val="24"/>
              </w:rPr>
              <w:t>（3）办公垃圾：建设项目办公将产生废光盘、废纸等办公垃圾，根据企业初步估计平均产生量约</w:t>
            </w:r>
            <w:r>
              <w:rPr>
                <w:bCs/>
                <w:sz w:val="24"/>
              </w:rPr>
              <w:t>0.</w:t>
            </w:r>
            <w:r>
              <w:rPr>
                <w:rFonts w:hint="eastAsia"/>
                <w:bCs/>
                <w:sz w:val="24"/>
              </w:rPr>
              <w:t>1</w:t>
            </w:r>
            <w:r>
              <w:rPr>
                <w:bCs/>
                <w:sz w:val="24"/>
              </w:rPr>
              <w:t>5t/a</w:t>
            </w:r>
            <w:r>
              <w:rPr>
                <w:rFonts w:hint="eastAsia"/>
                <w:bCs/>
                <w:sz w:val="24"/>
              </w:rPr>
              <w:t>，将由供应商回收或外售利用。</w:t>
            </w:r>
          </w:p>
          <w:p>
            <w:pPr>
              <w:spacing w:line="360" w:lineRule="auto"/>
              <w:ind w:firstLine="480" w:firstLineChars="200"/>
              <w:rPr>
                <w:rFonts w:hint="eastAsia"/>
                <w:bCs/>
                <w:sz w:val="24"/>
              </w:rPr>
            </w:pPr>
            <w:r>
              <w:rPr>
                <w:rFonts w:hint="eastAsia"/>
                <w:bCs/>
                <w:sz w:val="24"/>
              </w:rPr>
              <w:t>（4）本项目设有维修办公室和备机仓库，维修保养会产生少量废机油（0.8t/a），集中收集至项目东侧苏宁物流中心项目，委托南京市孝武润滑油添加剂经营部处理。</w:t>
            </w:r>
          </w:p>
          <w:p>
            <w:pPr>
              <w:adjustRightInd w:val="0"/>
              <w:snapToGrid w:val="0"/>
              <w:ind w:firstLine="442" w:firstLineChars="200"/>
              <w:jc w:val="center"/>
              <w:rPr>
                <w:b/>
                <w:snapToGrid w:val="0"/>
                <w:kern w:val="0"/>
                <w:sz w:val="22"/>
              </w:rPr>
            </w:pPr>
            <w:r>
              <w:rPr>
                <w:b/>
                <w:snapToGrid w:val="0"/>
                <w:kern w:val="0"/>
                <w:sz w:val="22"/>
              </w:rPr>
              <w:t>表6-</w:t>
            </w:r>
            <w:r>
              <w:rPr>
                <w:rFonts w:hint="eastAsia"/>
                <w:b/>
                <w:snapToGrid w:val="0"/>
                <w:kern w:val="0"/>
                <w:sz w:val="22"/>
              </w:rPr>
              <w:t>6</w:t>
            </w:r>
            <w:r>
              <w:rPr>
                <w:b/>
                <w:snapToGrid w:val="0"/>
                <w:kern w:val="0"/>
                <w:sz w:val="22"/>
              </w:rPr>
              <w:t xml:space="preserve"> </w:t>
            </w:r>
            <w:r>
              <w:rPr>
                <w:rFonts w:hint="eastAsia"/>
                <w:b/>
                <w:snapToGrid w:val="0"/>
                <w:kern w:val="0"/>
                <w:sz w:val="22"/>
              </w:rPr>
              <w:t xml:space="preserve">  </w:t>
            </w:r>
            <w:r>
              <w:rPr>
                <w:b/>
                <w:snapToGrid w:val="0"/>
                <w:kern w:val="0"/>
                <w:sz w:val="22"/>
              </w:rPr>
              <w:t>项目固体废弃物产生情况</w:t>
            </w:r>
          </w:p>
          <w:tbl>
            <w:tblPr>
              <w:tblStyle w:val="33"/>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874"/>
              <w:gridCol w:w="1120"/>
              <w:gridCol w:w="831"/>
              <w:gridCol w:w="710"/>
              <w:gridCol w:w="710"/>
              <w:gridCol w:w="708"/>
              <w:gridCol w:w="458"/>
              <w:gridCol w:w="750"/>
              <w:gridCol w:w="115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7" w:type="dxa"/>
                  <w:shd w:val="clear" w:color="auto" w:fill="auto"/>
                  <w:vAlign w:val="center"/>
                </w:tcPr>
                <w:p>
                  <w:pPr>
                    <w:spacing w:line="280" w:lineRule="exact"/>
                    <w:jc w:val="center"/>
                    <w:rPr>
                      <w:b/>
                      <w:sz w:val="20"/>
                      <w:szCs w:val="21"/>
                    </w:rPr>
                  </w:pPr>
                  <w:r>
                    <w:rPr>
                      <w:b/>
                      <w:sz w:val="20"/>
                      <w:szCs w:val="21"/>
                    </w:rPr>
                    <w:t>序号</w:t>
                  </w:r>
                </w:p>
              </w:tc>
              <w:tc>
                <w:tcPr>
                  <w:tcW w:w="874" w:type="dxa"/>
                  <w:shd w:val="clear" w:color="auto" w:fill="auto"/>
                  <w:vAlign w:val="center"/>
                </w:tcPr>
                <w:p>
                  <w:pPr>
                    <w:spacing w:line="280" w:lineRule="exact"/>
                    <w:jc w:val="center"/>
                    <w:rPr>
                      <w:b/>
                      <w:sz w:val="20"/>
                      <w:szCs w:val="21"/>
                    </w:rPr>
                  </w:pPr>
                  <w:r>
                    <w:rPr>
                      <w:b/>
                      <w:sz w:val="20"/>
                      <w:szCs w:val="21"/>
                    </w:rPr>
                    <w:t>固废名称</w:t>
                  </w:r>
                </w:p>
              </w:tc>
              <w:tc>
                <w:tcPr>
                  <w:tcW w:w="1120" w:type="dxa"/>
                  <w:shd w:val="clear" w:color="auto" w:fill="auto"/>
                  <w:vAlign w:val="center"/>
                </w:tcPr>
                <w:p>
                  <w:pPr>
                    <w:spacing w:line="280" w:lineRule="exact"/>
                    <w:jc w:val="center"/>
                    <w:rPr>
                      <w:b/>
                      <w:sz w:val="20"/>
                      <w:szCs w:val="21"/>
                    </w:rPr>
                  </w:pPr>
                  <w:r>
                    <w:rPr>
                      <w:b/>
                      <w:sz w:val="20"/>
                      <w:szCs w:val="21"/>
                    </w:rPr>
                    <w:t>属性（危险废物、一般工业固体废物或待鉴别）</w:t>
                  </w:r>
                </w:p>
              </w:tc>
              <w:tc>
                <w:tcPr>
                  <w:tcW w:w="831" w:type="dxa"/>
                  <w:shd w:val="clear" w:color="auto" w:fill="auto"/>
                  <w:vAlign w:val="center"/>
                </w:tcPr>
                <w:p>
                  <w:pPr>
                    <w:spacing w:line="280" w:lineRule="exact"/>
                    <w:jc w:val="center"/>
                    <w:rPr>
                      <w:b/>
                      <w:sz w:val="20"/>
                      <w:szCs w:val="21"/>
                    </w:rPr>
                  </w:pPr>
                  <w:r>
                    <w:rPr>
                      <w:b/>
                      <w:sz w:val="20"/>
                      <w:szCs w:val="21"/>
                    </w:rPr>
                    <w:t>产生工序</w:t>
                  </w:r>
                </w:p>
              </w:tc>
              <w:tc>
                <w:tcPr>
                  <w:tcW w:w="710" w:type="dxa"/>
                  <w:shd w:val="clear" w:color="auto" w:fill="auto"/>
                  <w:vAlign w:val="center"/>
                </w:tcPr>
                <w:p>
                  <w:pPr>
                    <w:spacing w:line="280" w:lineRule="exact"/>
                    <w:jc w:val="center"/>
                    <w:rPr>
                      <w:b/>
                      <w:sz w:val="20"/>
                      <w:szCs w:val="21"/>
                    </w:rPr>
                  </w:pPr>
                  <w:r>
                    <w:rPr>
                      <w:b/>
                      <w:sz w:val="20"/>
                      <w:szCs w:val="21"/>
                    </w:rPr>
                    <w:t>形态</w:t>
                  </w:r>
                </w:p>
              </w:tc>
              <w:tc>
                <w:tcPr>
                  <w:tcW w:w="710" w:type="dxa"/>
                  <w:shd w:val="clear" w:color="auto" w:fill="auto"/>
                  <w:vAlign w:val="center"/>
                </w:tcPr>
                <w:p>
                  <w:pPr>
                    <w:spacing w:line="280" w:lineRule="exact"/>
                    <w:jc w:val="center"/>
                    <w:rPr>
                      <w:rFonts w:hint="eastAsia"/>
                      <w:b/>
                      <w:sz w:val="20"/>
                      <w:szCs w:val="21"/>
                    </w:rPr>
                  </w:pPr>
                  <w:r>
                    <w:rPr>
                      <w:b/>
                      <w:sz w:val="20"/>
                      <w:szCs w:val="21"/>
                    </w:rPr>
                    <w:t>主要</w:t>
                  </w:r>
                </w:p>
                <w:p>
                  <w:pPr>
                    <w:spacing w:line="280" w:lineRule="exact"/>
                    <w:jc w:val="center"/>
                    <w:rPr>
                      <w:b/>
                      <w:sz w:val="20"/>
                      <w:szCs w:val="21"/>
                    </w:rPr>
                  </w:pPr>
                  <w:r>
                    <w:rPr>
                      <w:b/>
                      <w:sz w:val="20"/>
                      <w:szCs w:val="21"/>
                    </w:rPr>
                    <w:t>成分</w:t>
                  </w:r>
                </w:p>
              </w:tc>
              <w:tc>
                <w:tcPr>
                  <w:tcW w:w="708" w:type="dxa"/>
                  <w:shd w:val="clear" w:color="auto" w:fill="auto"/>
                  <w:vAlign w:val="center"/>
                </w:tcPr>
                <w:p>
                  <w:pPr>
                    <w:spacing w:line="280" w:lineRule="exact"/>
                    <w:jc w:val="center"/>
                    <w:rPr>
                      <w:b/>
                      <w:sz w:val="20"/>
                      <w:szCs w:val="21"/>
                    </w:rPr>
                  </w:pPr>
                  <w:r>
                    <w:rPr>
                      <w:b/>
                      <w:sz w:val="20"/>
                      <w:szCs w:val="21"/>
                    </w:rPr>
                    <w:t>危险特性鉴别方法</w:t>
                  </w:r>
                </w:p>
              </w:tc>
              <w:tc>
                <w:tcPr>
                  <w:tcW w:w="458" w:type="dxa"/>
                  <w:shd w:val="clear" w:color="auto" w:fill="auto"/>
                  <w:vAlign w:val="center"/>
                </w:tcPr>
                <w:p>
                  <w:pPr>
                    <w:spacing w:line="280" w:lineRule="exact"/>
                    <w:jc w:val="center"/>
                    <w:rPr>
                      <w:b/>
                      <w:sz w:val="20"/>
                      <w:szCs w:val="21"/>
                    </w:rPr>
                  </w:pPr>
                  <w:r>
                    <w:rPr>
                      <w:b/>
                      <w:sz w:val="20"/>
                      <w:szCs w:val="21"/>
                    </w:rPr>
                    <w:t>危险特性</w:t>
                  </w:r>
                </w:p>
              </w:tc>
              <w:tc>
                <w:tcPr>
                  <w:tcW w:w="750" w:type="dxa"/>
                  <w:shd w:val="clear" w:color="auto" w:fill="auto"/>
                  <w:vAlign w:val="center"/>
                </w:tcPr>
                <w:p>
                  <w:pPr>
                    <w:spacing w:line="280" w:lineRule="exact"/>
                    <w:jc w:val="center"/>
                  </w:pPr>
                  <w:r>
                    <w:rPr>
                      <w:b/>
                      <w:sz w:val="20"/>
                      <w:szCs w:val="21"/>
                    </w:rPr>
                    <w:t>废物类别</w:t>
                  </w:r>
                </w:p>
              </w:tc>
              <w:tc>
                <w:tcPr>
                  <w:tcW w:w="1150" w:type="dxa"/>
                  <w:shd w:val="clear" w:color="auto" w:fill="auto"/>
                  <w:vAlign w:val="center"/>
                </w:tcPr>
                <w:p>
                  <w:pPr>
                    <w:spacing w:line="280" w:lineRule="exact"/>
                    <w:jc w:val="center"/>
                    <w:rPr>
                      <w:b/>
                      <w:sz w:val="20"/>
                      <w:szCs w:val="21"/>
                    </w:rPr>
                  </w:pPr>
                  <w:r>
                    <w:rPr>
                      <w:b/>
                      <w:sz w:val="20"/>
                      <w:szCs w:val="21"/>
                    </w:rPr>
                    <w:t>废物</w:t>
                  </w:r>
                </w:p>
                <w:p>
                  <w:pPr>
                    <w:spacing w:line="280" w:lineRule="exact"/>
                    <w:jc w:val="center"/>
                    <w:rPr>
                      <w:b/>
                      <w:sz w:val="20"/>
                      <w:szCs w:val="21"/>
                    </w:rPr>
                  </w:pPr>
                  <w:r>
                    <w:rPr>
                      <w:b/>
                      <w:sz w:val="20"/>
                      <w:szCs w:val="21"/>
                    </w:rPr>
                    <w:t>代码</w:t>
                  </w:r>
                </w:p>
              </w:tc>
              <w:tc>
                <w:tcPr>
                  <w:tcW w:w="822" w:type="dxa"/>
                  <w:shd w:val="clear" w:color="auto" w:fill="auto"/>
                  <w:vAlign w:val="center"/>
                </w:tcPr>
                <w:p>
                  <w:pPr>
                    <w:spacing w:line="280" w:lineRule="exact"/>
                    <w:jc w:val="center"/>
                    <w:rPr>
                      <w:b/>
                      <w:sz w:val="20"/>
                      <w:szCs w:val="21"/>
                    </w:rPr>
                  </w:pPr>
                  <w:r>
                    <w:rPr>
                      <w:b/>
                      <w:sz w:val="20"/>
                      <w:szCs w:val="21"/>
                    </w:rPr>
                    <w:t>估算产生量（吨）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417" w:type="dxa"/>
                  <w:shd w:val="clear" w:color="auto" w:fill="auto"/>
                  <w:vAlign w:val="center"/>
                </w:tcPr>
                <w:p>
                  <w:pPr>
                    <w:spacing w:line="280" w:lineRule="exact"/>
                    <w:jc w:val="center"/>
                    <w:rPr>
                      <w:sz w:val="20"/>
                      <w:szCs w:val="21"/>
                    </w:rPr>
                  </w:pPr>
                  <w:r>
                    <w:rPr>
                      <w:sz w:val="20"/>
                      <w:szCs w:val="21"/>
                    </w:rPr>
                    <w:t>1</w:t>
                  </w:r>
                </w:p>
              </w:tc>
              <w:tc>
                <w:tcPr>
                  <w:tcW w:w="874" w:type="dxa"/>
                  <w:shd w:val="clear" w:color="auto" w:fill="auto"/>
                  <w:vAlign w:val="center"/>
                </w:tcPr>
                <w:p>
                  <w:pPr>
                    <w:spacing w:line="280" w:lineRule="exact"/>
                    <w:jc w:val="center"/>
                    <w:rPr>
                      <w:sz w:val="20"/>
                      <w:szCs w:val="21"/>
                    </w:rPr>
                  </w:pPr>
                  <w:r>
                    <w:rPr>
                      <w:sz w:val="20"/>
                      <w:szCs w:val="21"/>
                    </w:rPr>
                    <w:t>废</w:t>
                  </w:r>
                  <w:r>
                    <w:rPr>
                      <w:rFonts w:hint="eastAsia"/>
                      <w:sz w:val="20"/>
                      <w:szCs w:val="21"/>
                    </w:rPr>
                    <w:t>包装</w:t>
                  </w:r>
                </w:p>
              </w:tc>
              <w:tc>
                <w:tcPr>
                  <w:tcW w:w="1120" w:type="dxa"/>
                  <w:shd w:val="clear" w:color="auto" w:fill="auto"/>
                  <w:vAlign w:val="center"/>
                </w:tcPr>
                <w:p>
                  <w:pPr>
                    <w:spacing w:line="280" w:lineRule="exact"/>
                    <w:jc w:val="center"/>
                    <w:rPr>
                      <w:sz w:val="20"/>
                      <w:szCs w:val="21"/>
                    </w:rPr>
                  </w:pPr>
                  <w:r>
                    <w:rPr>
                      <w:sz w:val="20"/>
                      <w:szCs w:val="21"/>
                    </w:rPr>
                    <w:t>一般固废</w:t>
                  </w:r>
                </w:p>
              </w:tc>
              <w:tc>
                <w:tcPr>
                  <w:tcW w:w="831" w:type="dxa"/>
                  <w:shd w:val="clear" w:color="auto" w:fill="auto"/>
                  <w:vAlign w:val="center"/>
                </w:tcPr>
                <w:p>
                  <w:pPr>
                    <w:spacing w:line="280" w:lineRule="exact"/>
                    <w:jc w:val="center"/>
                    <w:rPr>
                      <w:sz w:val="20"/>
                      <w:szCs w:val="21"/>
                    </w:rPr>
                  </w:pPr>
                  <w:r>
                    <w:rPr>
                      <w:rFonts w:hint="eastAsia"/>
                      <w:sz w:val="20"/>
                      <w:szCs w:val="21"/>
                    </w:rPr>
                    <w:t>分包</w:t>
                  </w:r>
                </w:p>
              </w:tc>
              <w:tc>
                <w:tcPr>
                  <w:tcW w:w="710" w:type="dxa"/>
                  <w:shd w:val="clear" w:color="auto" w:fill="auto"/>
                  <w:vAlign w:val="center"/>
                </w:tcPr>
                <w:p>
                  <w:pPr>
                    <w:spacing w:line="280" w:lineRule="exact"/>
                    <w:jc w:val="center"/>
                    <w:rPr>
                      <w:sz w:val="20"/>
                      <w:szCs w:val="21"/>
                    </w:rPr>
                  </w:pPr>
                  <w:r>
                    <w:rPr>
                      <w:sz w:val="20"/>
                      <w:szCs w:val="21"/>
                    </w:rPr>
                    <w:t>固体</w:t>
                  </w:r>
                </w:p>
              </w:tc>
              <w:tc>
                <w:tcPr>
                  <w:tcW w:w="710" w:type="dxa"/>
                  <w:shd w:val="clear" w:color="auto" w:fill="auto"/>
                  <w:vAlign w:val="center"/>
                </w:tcPr>
                <w:p>
                  <w:pPr>
                    <w:spacing w:line="280" w:lineRule="exact"/>
                    <w:jc w:val="center"/>
                    <w:rPr>
                      <w:sz w:val="20"/>
                      <w:szCs w:val="21"/>
                    </w:rPr>
                  </w:pPr>
                  <w:r>
                    <w:rPr>
                      <w:rFonts w:hint="eastAsia"/>
                      <w:sz w:val="20"/>
                      <w:szCs w:val="21"/>
                    </w:rPr>
                    <w:t>纸壳、塑料</w:t>
                  </w:r>
                </w:p>
              </w:tc>
              <w:tc>
                <w:tcPr>
                  <w:tcW w:w="708" w:type="dxa"/>
                  <w:shd w:val="clear" w:color="auto" w:fill="auto"/>
                  <w:vAlign w:val="center"/>
                </w:tcPr>
                <w:p>
                  <w:pPr>
                    <w:spacing w:line="280" w:lineRule="exact"/>
                    <w:jc w:val="center"/>
                    <w:rPr>
                      <w:sz w:val="20"/>
                      <w:szCs w:val="21"/>
                    </w:rPr>
                  </w:pPr>
                  <w:r>
                    <w:rPr>
                      <w:sz w:val="20"/>
                      <w:szCs w:val="21"/>
                    </w:rPr>
                    <w:t>/</w:t>
                  </w:r>
                </w:p>
              </w:tc>
              <w:tc>
                <w:tcPr>
                  <w:tcW w:w="458" w:type="dxa"/>
                  <w:shd w:val="clear" w:color="auto" w:fill="auto"/>
                  <w:vAlign w:val="center"/>
                </w:tcPr>
                <w:p>
                  <w:pPr>
                    <w:spacing w:line="280" w:lineRule="exact"/>
                    <w:jc w:val="center"/>
                    <w:rPr>
                      <w:sz w:val="20"/>
                      <w:szCs w:val="21"/>
                    </w:rPr>
                  </w:pPr>
                  <w:r>
                    <w:rPr>
                      <w:sz w:val="20"/>
                      <w:szCs w:val="21"/>
                    </w:rPr>
                    <w:t>/</w:t>
                  </w:r>
                </w:p>
              </w:tc>
              <w:tc>
                <w:tcPr>
                  <w:tcW w:w="750" w:type="dxa"/>
                  <w:shd w:val="clear" w:color="auto" w:fill="auto"/>
                  <w:vAlign w:val="center"/>
                </w:tcPr>
                <w:p>
                  <w:pPr>
                    <w:spacing w:line="280" w:lineRule="exact"/>
                    <w:jc w:val="center"/>
                    <w:rPr>
                      <w:sz w:val="20"/>
                      <w:szCs w:val="21"/>
                    </w:rPr>
                  </w:pPr>
                  <w:r>
                    <w:rPr>
                      <w:sz w:val="20"/>
                      <w:szCs w:val="21"/>
                    </w:rPr>
                    <w:t>/</w:t>
                  </w:r>
                </w:p>
              </w:tc>
              <w:tc>
                <w:tcPr>
                  <w:tcW w:w="1150" w:type="dxa"/>
                  <w:shd w:val="clear" w:color="auto" w:fill="auto"/>
                  <w:vAlign w:val="center"/>
                </w:tcPr>
                <w:p>
                  <w:pPr>
                    <w:spacing w:line="280" w:lineRule="exact"/>
                    <w:jc w:val="center"/>
                    <w:rPr>
                      <w:sz w:val="20"/>
                      <w:szCs w:val="21"/>
                    </w:rPr>
                  </w:pPr>
                  <w:r>
                    <w:rPr>
                      <w:sz w:val="20"/>
                      <w:szCs w:val="21"/>
                    </w:rPr>
                    <w:t>/</w:t>
                  </w:r>
                </w:p>
              </w:tc>
              <w:tc>
                <w:tcPr>
                  <w:tcW w:w="822" w:type="dxa"/>
                  <w:shd w:val="clear" w:color="auto" w:fill="auto"/>
                  <w:vAlign w:val="center"/>
                </w:tcPr>
                <w:p>
                  <w:pPr>
                    <w:spacing w:line="280" w:lineRule="exact"/>
                    <w:jc w:val="center"/>
                    <w:rPr>
                      <w:sz w:val="20"/>
                      <w:szCs w:val="21"/>
                    </w:rPr>
                  </w:pPr>
                  <w:r>
                    <w:rPr>
                      <w:rFonts w:hint="eastAsia"/>
                      <w:sz w:val="20"/>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7" w:type="dxa"/>
                  <w:shd w:val="clear" w:color="auto" w:fill="auto"/>
                  <w:vAlign w:val="center"/>
                </w:tcPr>
                <w:p>
                  <w:pPr>
                    <w:spacing w:line="280" w:lineRule="exact"/>
                    <w:jc w:val="center"/>
                    <w:rPr>
                      <w:sz w:val="20"/>
                      <w:szCs w:val="21"/>
                    </w:rPr>
                  </w:pPr>
                  <w:r>
                    <w:rPr>
                      <w:sz w:val="20"/>
                      <w:szCs w:val="21"/>
                    </w:rPr>
                    <w:t>2</w:t>
                  </w:r>
                </w:p>
              </w:tc>
              <w:tc>
                <w:tcPr>
                  <w:tcW w:w="874" w:type="dxa"/>
                  <w:shd w:val="clear" w:color="auto" w:fill="auto"/>
                  <w:vAlign w:val="center"/>
                </w:tcPr>
                <w:p>
                  <w:pPr>
                    <w:spacing w:line="280" w:lineRule="exact"/>
                    <w:jc w:val="center"/>
                    <w:rPr>
                      <w:sz w:val="20"/>
                      <w:szCs w:val="21"/>
                    </w:rPr>
                  </w:pPr>
                  <w:r>
                    <w:rPr>
                      <w:sz w:val="20"/>
                      <w:szCs w:val="21"/>
                    </w:rPr>
                    <w:t>生活垃圾</w:t>
                  </w:r>
                </w:p>
              </w:tc>
              <w:tc>
                <w:tcPr>
                  <w:tcW w:w="1120" w:type="dxa"/>
                  <w:shd w:val="clear" w:color="auto" w:fill="auto"/>
                  <w:vAlign w:val="center"/>
                </w:tcPr>
                <w:p>
                  <w:pPr>
                    <w:spacing w:line="280" w:lineRule="exact"/>
                    <w:jc w:val="center"/>
                    <w:rPr>
                      <w:sz w:val="20"/>
                      <w:szCs w:val="21"/>
                    </w:rPr>
                  </w:pPr>
                  <w:r>
                    <w:rPr>
                      <w:sz w:val="20"/>
                      <w:szCs w:val="21"/>
                    </w:rPr>
                    <w:t>一般固废</w:t>
                  </w:r>
                </w:p>
              </w:tc>
              <w:tc>
                <w:tcPr>
                  <w:tcW w:w="831" w:type="dxa"/>
                  <w:shd w:val="clear" w:color="auto" w:fill="auto"/>
                  <w:vAlign w:val="center"/>
                </w:tcPr>
                <w:p>
                  <w:pPr>
                    <w:spacing w:line="280" w:lineRule="exact"/>
                    <w:jc w:val="center"/>
                    <w:rPr>
                      <w:sz w:val="20"/>
                      <w:szCs w:val="21"/>
                    </w:rPr>
                  </w:pPr>
                  <w:r>
                    <w:rPr>
                      <w:sz w:val="20"/>
                      <w:szCs w:val="21"/>
                    </w:rPr>
                    <w:t>日常生活</w:t>
                  </w:r>
                </w:p>
              </w:tc>
              <w:tc>
                <w:tcPr>
                  <w:tcW w:w="710" w:type="dxa"/>
                  <w:shd w:val="clear" w:color="auto" w:fill="auto"/>
                  <w:vAlign w:val="center"/>
                </w:tcPr>
                <w:p>
                  <w:pPr>
                    <w:spacing w:line="280" w:lineRule="exact"/>
                    <w:jc w:val="center"/>
                    <w:rPr>
                      <w:sz w:val="20"/>
                      <w:szCs w:val="21"/>
                    </w:rPr>
                  </w:pPr>
                  <w:r>
                    <w:rPr>
                      <w:sz w:val="20"/>
                      <w:szCs w:val="21"/>
                    </w:rPr>
                    <w:t>固体</w:t>
                  </w:r>
                </w:p>
              </w:tc>
              <w:tc>
                <w:tcPr>
                  <w:tcW w:w="710" w:type="dxa"/>
                  <w:shd w:val="clear" w:color="auto" w:fill="auto"/>
                  <w:vAlign w:val="center"/>
                </w:tcPr>
                <w:p>
                  <w:pPr>
                    <w:spacing w:line="280" w:lineRule="exact"/>
                    <w:jc w:val="center"/>
                    <w:rPr>
                      <w:sz w:val="20"/>
                      <w:szCs w:val="21"/>
                    </w:rPr>
                  </w:pPr>
                  <w:r>
                    <w:rPr>
                      <w:sz w:val="20"/>
                      <w:szCs w:val="21"/>
                    </w:rPr>
                    <w:t>生活垃圾</w:t>
                  </w:r>
                </w:p>
              </w:tc>
              <w:tc>
                <w:tcPr>
                  <w:tcW w:w="708" w:type="dxa"/>
                  <w:shd w:val="clear" w:color="auto" w:fill="auto"/>
                  <w:vAlign w:val="center"/>
                </w:tcPr>
                <w:p>
                  <w:pPr>
                    <w:spacing w:line="280" w:lineRule="exact"/>
                    <w:jc w:val="center"/>
                    <w:rPr>
                      <w:sz w:val="20"/>
                      <w:szCs w:val="21"/>
                    </w:rPr>
                  </w:pPr>
                  <w:r>
                    <w:rPr>
                      <w:sz w:val="20"/>
                      <w:szCs w:val="21"/>
                    </w:rPr>
                    <w:t>/</w:t>
                  </w:r>
                </w:p>
              </w:tc>
              <w:tc>
                <w:tcPr>
                  <w:tcW w:w="458" w:type="dxa"/>
                  <w:shd w:val="clear" w:color="auto" w:fill="auto"/>
                  <w:vAlign w:val="center"/>
                </w:tcPr>
                <w:p>
                  <w:pPr>
                    <w:spacing w:line="280" w:lineRule="exact"/>
                    <w:jc w:val="center"/>
                    <w:rPr>
                      <w:sz w:val="20"/>
                      <w:szCs w:val="21"/>
                    </w:rPr>
                  </w:pPr>
                  <w:r>
                    <w:rPr>
                      <w:sz w:val="20"/>
                      <w:szCs w:val="21"/>
                    </w:rPr>
                    <w:t>/</w:t>
                  </w:r>
                </w:p>
              </w:tc>
              <w:tc>
                <w:tcPr>
                  <w:tcW w:w="750" w:type="dxa"/>
                  <w:shd w:val="clear" w:color="auto" w:fill="auto"/>
                  <w:vAlign w:val="center"/>
                </w:tcPr>
                <w:p>
                  <w:pPr>
                    <w:spacing w:line="280" w:lineRule="exact"/>
                    <w:jc w:val="center"/>
                    <w:rPr>
                      <w:sz w:val="20"/>
                      <w:szCs w:val="21"/>
                    </w:rPr>
                  </w:pPr>
                  <w:r>
                    <w:rPr>
                      <w:sz w:val="20"/>
                      <w:szCs w:val="21"/>
                    </w:rPr>
                    <w:t>/</w:t>
                  </w:r>
                </w:p>
              </w:tc>
              <w:tc>
                <w:tcPr>
                  <w:tcW w:w="1150" w:type="dxa"/>
                  <w:shd w:val="clear" w:color="auto" w:fill="auto"/>
                  <w:vAlign w:val="center"/>
                </w:tcPr>
                <w:p>
                  <w:pPr>
                    <w:spacing w:line="280" w:lineRule="exact"/>
                    <w:jc w:val="center"/>
                    <w:rPr>
                      <w:sz w:val="20"/>
                      <w:szCs w:val="21"/>
                    </w:rPr>
                  </w:pPr>
                  <w:r>
                    <w:rPr>
                      <w:sz w:val="20"/>
                      <w:szCs w:val="21"/>
                    </w:rPr>
                    <w:t>/</w:t>
                  </w:r>
                </w:p>
              </w:tc>
              <w:tc>
                <w:tcPr>
                  <w:tcW w:w="822" w:type="dxa"/>
                  <w:shd w:val="clear" w:color="auto" w:fill="auto"/>
                  <w:vAlign w:val="center"/>
                </w:tcPr>
                <w:p>
                  <w:pPr>
                    <w:spacing w:line="280" w:lineRule="exact"/>
                    <w:jc w:val="center"/>
                    <w:rPr>
                      <w:sz w:val="20"/>
                      <w:szCs w:val="21"/>
                    </w:rPr>
                  </w:pPr>
                  <w:r>
                    <w:rPr>
                      <w:rFonts w:hint="eastAsia"/>
                      <w:sz w:val="20"/>
                      <w:szCs w:val="21"/>
                    </w:rPr>
                    <w:t>125.7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7" w:type="dxa"/>
                  <w:shd w:val="clear" w:color="auto" w:fill="auto"/>
                  <w:vAlign w:val="center"/>
                </w:tcPr>
                <w:p>
                  <w:pPr>
                    <w:spacing w:line="280" w:lineRule="exact"/>
                    <w:jc w:val="center"/>
                    <w:rPr>
                      <w:sz w:val="20"/>
                      <w:szCs w:val="21"/>
                    </w:rPr>
                  </w:pPr>
                  <w:r>
                    <w:rPr>
                      <w:rFonts w:hint="eastAsia"/>
                      <w:sz w:val="20"/>
                      <w:szCs w:val="21"/>
                    </w:rPr>
                    <w:t>3</w:t>
                  </w:r>
                </w:p>
              </w:tc>
              <w:tc>
                <w:tcPr>
                  <w:tcW w:w="874" w:type="dxa"/>
                  <w:shd w:val="clear" w:color="auto" w:fill="auto"/>
                  <w:vAlign w:val="center"/>
                </w:tcPr>
                <w:p>
                  <w:pPr>
                    <w:jc w:val="center"/>
                    <w:rPr>
                      <w:sz w:val="20"/>
                      <w:szCs w:val="21"/>
                    </w:rPr>
                  </w:pPr>
                  <w:r>
                    <w:rPr>
                      <w:rFonts w:hint="eastAsia"/>
                      <w:sz w:val="20"/>
                      <w:szCs w:val="21"/>
                    </w:rPr>
                    <w:t>办公垃圾</w:t>
                  </w:r>
                </w:p>
              </w:tc>
              <w:tc>
                <w:tcPr>
                  <w:tcW w:w="1120" w:type="dxa"/>
                  <w:shd w:val="clear" w:color="auto" w:fill="auto"/>
                  <w:vAlign w:val="center"/>
                </w:tcPr>
                <w:p>
                  <w:pPr>
                    <w:jc w:val="center"/>
                    <w:rPr>
                      <w:sz w:val="20"/>
                      <w:szCs w:val="21"/>
                    </w:rPr>
                  </w:pPr>
                  <w:r>
                    <w:rPr>
                      <w:rFonts w:hint="eastAsia"/>
                      <w:sz w:val="20"/>
                      <w:szCs w:val="21"/>
                    </w:rPr>
                    <w:t>一般固废</w:t>
                  </w:r>
                </w:p>
              </w:tc>
              <w:tc>
                <w:tcPr>
                  <w:tcW w:w="831" w:type="dxa"/>
                  <w:shd w:val="clear" w:color="auto" w:fill="auto"/>
                  <w:vAlign w:val="center"/>
                </w:tcPr>
                <w:p>
                  <w:pPr>
                    <w:jc w:val="center"/>
                    <w:rPr>
                      <w:sz w:val="20"/>
                      <w:szCs w:val="21"/>
                    </w:rPr>
                  </w:pPr>
                  <w:r>
                    <w:rPr>
                      <w:rFonts w:hint="eastAsia"/>
                      <w:sz w:val="20"/>
                      <w:szCs w:val="21"/>
                    </w:rPr>
                    <w:t>办公</w:t>
                  </w:r>
                </w:p>
              </w:tc>
              <w:tc>
                <w:tcPr>
                  <w:tcW w:w="710" w:type="dxa"/>
                  <w:shd w:val="clear" w:color="auto" w:fill="auto"/>
                  <w:vAlign w:val="center"/>
                </w:tcPr>
                <w:p>
                  <w:pPr>
                    <w:jc w:val="center"/>
                    <w:rPr>
                      <w:sz w:val="20"/>
                      <w:szCs w:val="21"/>
                    </w:rPr>
                  </w:pPr>
                  <w:r>
                    <w:rPr>
                      <w:rFonts w:hint="eastAsia"/>
                      <w:sz w:val="20"/>
                      <w:szCs w:val="21"/>
                    </w:rPr>
                    <w:t>固体</w:t>
                  </w:r>
                </w:p>
              </w:tc>
              <w:tc>
                <w:tcPr>
                  <w:tcW w:w="710" w:type="dxa"/>
                  <w:shd w:val="clear" w:color="auto" w:fill="auto"/>
                  <w:vAlign w:val="center"/>
                </w:tcPr>
                <w:p>
                  <w:pPr>
                    <w:jc w:val="center"/>
                    <w:rPr>
                      <w:sz w:val="20"/>
                      <w:szCs w:val="21"/>
                    </w:rPr>
                  </w:pPr>
                  <w:r>
                    <w:rPr>
                      <w:rFonts w:hint="eastAsia"/>
                      <w:sz w:val="20"/>
                      <w:szCs w:val="21"/>
                    </w:rPr>
                    <w:t>废纸</w:t>
                  </w:r>
                </w:p>
              </w:tc>
              <w:tc>
                <w:tcPr>
                  <w:tcW w:w="708" w:type="dxa"/>
                  <w:shd w:val="clear" w:color="auto" w:fill="auto"/>
                  <w:vAlign w:val="center"/>
                </w:tcPr>
                <w:p>
                  <w:pPr>
                    <w:jc w:val="center"/>
                    <w:rPr>
                      <w:sz w:val="20"/>
                      <w:szCs w:val="21"/>
                    </w:rPr>
                  </w:pPr>
                  <w:r>
                    <w:rPr>
                      <w:sz w:val="20"/>
                      <w:szCs w:val="21"/>
                    </w:rPr>
                    <w:t>/</w:t>
                  </w:r>
                </w:p>
              </w:tc>
              <w:tc>
                <w:tcPr>
                  <w:tcW w:w="458" w:type="dxa"/>
                  <w:shd w:val="clear" w:color="auto" w:fill="auto"/>
                  <w:vAlign w:val="center"/>
                </w:tcPr>
                <w:p>
                  <w:pPr>
                    <w:jc w:val="center"/>
                    <w:rPr>
                      <w:sz w:val="20"/>
                      <w:szCs w:val="21"/>
                    </w:rPr>
                  </w:pPr>
                  <w:r>
                    <w:rPr>
                      <w:sz w:val="20"/>
                      <w:szCs w:val="21"/>
                    </w:rPr>
                    <w:t>/</w:t>
                  </w:r>
                </w:p>
              </w:tc>
              <w:tc>
                <w:tcPr>
                  <w:tcW w:w="750" w:type="dxa"/>
                  <w:shd w:val="clear" w:color="auto" w:fill="auto"/>
                  <w:vAlign w:val="center"/>
                </w:tcPr>
                <w:p>
                  <w:pPr>
                    <w:jc w:val="center"/>
                    <w:rPr>
                      <w:sz w:val="20"/>
                      <w:szCs w:val="21"/>
                    </w:rPr>
                  </w:pPr>
                  <w:r>
                    <w:rPr>
                      <w:sz w:val="20"/>
                      <w:szCs w:val="21"/>
                    </w:rPr>
                    <w:t>/</w:t>
                  </w:r>
                </w:p>
              </w:tc>
              <w:tc>
                <w:tcPr>
                  <w:tcW w:w="1150" w:type="dxa"/>
                  <w:shd w:val="clear" w:color="auto" w:fill="auto"/>
                  <w:vAlign w:val="center"/>
                </w:tcPr>
                <w:p>
                  <w:pPr>
                    <w:jc w:val="center"/>
                    <w:rPr>
                      <w:sz w:val="20"/>
                      <w:szCs w:val="21"/>
                    </w:rPr>
                  </w:pPr>
                  <w:r>
                    <w:rPr>
                      <w:sz w:val="20"/>
                      <w:szCs w:val="21"/>
                    </w:rPr>
                    <w:t>/</w:t>
                  </w:r>
                </w:p>
              </w:tc>
              <w:tc>
                <w:tcPr>
                  <w:tcW w:w="822" w:type="dxa"/>
                  <w:shd w:val="clear" w:color="auto" w:fill="auto"/>
                  <w:vAlign w:val="center"/>
                </w:tcPr>
                <w:p>
                  <w:pPr>
                    <w:jc w:val="center"/>
                    <w:rPr>
                      <w:sz w:val="20"/>
                      <w:szCs w:val="21"/>
                    </w:rPr>
                  </w:pPr>
                  <w:r>
                    <w:rPr>
                      <w:rFonts w:hint="eastAsia"/>
                      <w:sz w:val="20"/>
                      <w:szCs w:val="21"/>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7" w:type="dxa"/>
                  <w:shd w:val="clear" w:color="auto" w:fill="auto"/>
                  <w:vAlign w:val="center"/>
                </w:tcPr>
                <w:p>
                  <w:pPr>
                    <w:spacing w:line="280" w:lineRule="exact"/>
                    <w:jc w:val="center"/>
                    <w:rPr>
                      <w:rFonts w:hint="eastAsia"/>
                      <w:sz w:val="20"/>
                      <w:szCs w:val="21"/>
                    </w:rPr>
                  </w:pPr>
                  <w:r>
                    <w:rPr>
                      <w:rFonts w:hint="eastAsia"/>
                      <w:sz w:val="20"/>
                      <w:szCs w:val="21"/>
                    </w:rPr>
                    <w:t>4</w:t>
                  </w:r>
                </w:p>
              </w:tc>
              <w:tc>
                <w:tcPr>
                  <w:tcW w:w="874" w:type="dxa"/>
                  <w:shd w:val="clear" w:color="auto" w:fill="auto"/>
                  <w:vAlign w:val="center"/>
                </w:tcPr>
                <w:p>
                  <w:pPr>
                    <w:jc w:val="center"/>
                    <w:rPr>
                      <w:rFonts w:hint="eastAsia"/>
                      <w:sz w:val="20"/>
                      <w:szCs w:val="21"/>
                    </w:rPr>
                  </w:pPr>
                  <w:r>
                    <w:rPr>
                      <w:rFonts w:hint="eastAsia"/>
                      <w:sz w:val="20"/>
                      <w:szCs w:val="21"/>
                    </w:rPr>
                    <w:t>废机油</w:t>
                  </w:r>
                </w:p>
              </w:tc>
              <w:tc>
                <w:tcPr>
                  <w:tcW w:w="1120" w:type="dxa"/>
                  <w:shd w:val="clear" w:color="auto" w:fill="auto"/>
                  <w:vAlign w:val="center"/>
                </w:tcPr>
                <w:p>
                  <w:pPr>
                    <w:jc w:val="center"/>
                    <w:rPr>
                      <w:rFonts w:hint="eastAsia"/>
                      <w:sz w:val="20"/>
                      <w:szCs w:val="21"/>
                    </w:rPr>
                  </w:pPr>
                  <w:r>
                    <w:rPr>
                      <w:rFonts w:hint="eastAsia"/>
                      <w:sz w:val="20"/>
                      <w:szCs w:val="21"/>
                    </w:rPr>
                    <w:t>危险固废</w:t>
                  </w:r>
                </w:p>
              </w:tc>
              <w:tc>
                <w:tcPr>
                  <w:tcW w:w="831" w:type="dxa"/>
                  <w:shd w:val="clear" w:color="auto" w:fill="auto"/>
                  <w:vAlign w:val="center"/>
                </w:tcPr>
                <w:p>
                  <w:pPr>
                    <w:jc w:val="center"/>
                    <w:rPr>
                      <w:rFonts w:hint="eastAsia"/>
                      <w:sz w:val="20"/>
                      <w:szCs w:val="21"/>
                    </w:rPr>
                  </w:pPr>
                  <w:r>
                    <w:rPr>
                      <w:rFonts w:hint="eastAsia"/>
                      <w:sz w:val="20"/>
                      <w:szCs w:val="21"/>
                    </w:rPr>
                    <w:t>机修</w:t>
                  </w:r>
                </w:p>
              </w:tc>
              <w:tc>
                <w:tcPr>
                  <w:tcW w:w="710" w:type="dxa"/>
                  <w:shd w:val="clear" w:color="auto" w:fill="auto"/>
                  <w:vAlign w:val="center"/>
                </w:tcPr>
                <w:p>
                  <w:pPr>
                    <w:jc w:val="center"/>
                    <w:rPr>
                      <w:rFonts w:hint="eastAsia"/>
                      <w:sz w:val="20"/>
                      <w:szCs w:val="21"/>
                    </w:rPr>
                  </w:pPr>
                  <w:r>
                    <w:rPr>
                      <w:rFonts w:hint="eastAsia"/>
                      <w:sz w:val="20"/>
                      <w:szCs w:val="21"/>
                    </w:rPr>
                    <w:t>液体</w:t>
                  </w:r>
                </w:p>
              </w:tc>
              <w:tc>
                <w:tcPr>
                  <w:tcW w:w="710" w:type="dxa"/>
                  <w:shd w:val="clear" w:color="auto" w:fill="auto"/>
                  <w:vAlign w:val="center"/>
                </w:tcPr>
                <w:p>
                  <w:pPr>
                    <w:jc w:val="center"/>
                    <w:rPr>
                      <w:rFonts w:hint="eastAsia"/>
                      <w:sz w:val="20"/>
                      <w:szCs w:val="21"/>
                    </w:rPr>
                  </w:pPr>
                  <w:r>
                    <w:rPr>
                      <w:rFonts w:hint="eastAsia"/>
                      <w:sz w:val="20"/>
                      <w:szCs w:val="21"/>
                    </w:rPr>
                    <w:t>废机油</w:t>
                  </w:r>
                </w:p>
              </w:tc>
              <w:tc>
                <w:tcPr>
                  <w:tcW w:w="708" w:type="dxa"/>
                  <w:shd w:val="clear" w:color="auto" w:fill="auto"/>
                  <w:vAlign w:val="center"/>
                </w:tcPr>
                <w:p>
                  <w:pPr>
                    <w:jc w:val="center"/>
                    <w:rPr>
                      <w:sz w:val="20"/>
                      <w:szCs w:val="21"/>
                    </w:rPr>
                  </w:pPr>
                  <w:r>
                    <w:rPr>
                      <w:sz w:val="20"/>
                      <w:szCs w:val="21"/>
                    </w:rPr>
                    <w:t>/</w:t>
                  </w:r>
                </w:p>
              </w:tc>
              <w:tc>
                <w:tcPr>
                  <w:tcW w:w="458" w:type="dxa"/>
                  <w:shd w:val="clear" w:color="auto" w:fill="auto"/>
                  <w:vAlign w:val="center"/>
                </w:tcPr>
                <w:p>
                  <w:pPr>
                    <w:jc w:val="center"/>
                    <w:rPr>
                      <w:sz w:val="20"/>
                      <w:szCs w:val="21"/>
                    </w:rPr>
                  </w:pPr>
                  <w:r>
                    <w:rPr>
                      <w:rFonts w:hint="eastAsia"/>
                      <w:sz w:val="15"/>
                      <w:szCs w:val="21"/>
                    </w:rPr>
                    <w:t>T，T</w:t>
                  </w:r>
                </w:p>
              </w:tc>
              <w:tc>
                <w:tcPr>
                  <w:tcW w:w="750" w:type="dxa"/>
                  <w:shd w:val="clear" w:color="auto" w:fill="auto"/>
                  <w:vAlign w:val="center"/>
                </w:tcPr>
                <w:p>
                  <w:pPr>
                    <w:jc w:val="center"/>
                    <w:rPr>
                      <w:sz w:val="20"/>
                      <w:szCs w:val="21"/>
                    </w:rPr>
                  </w:pPr>
                  <w:r>
                    <w:rPr>
                      <w:rFonts w:hint="eastAsia"/>
                      <w:sz w:val="20"/>
                      <w:szCs w:val="21"/>
                    </w:rPr>
                    <w:t>HW08</w:t>
                  </w:r>
                </w:p>
              </w:tc>
              <w:tc>
                <w:tcPr>
                  <w:tcW w:w="1150" w:type="dxa"/>
                  <w:shd w:val="clear" w:color="auto" w:fill="auto"/>
                  <w:vAlign w:val="center"/>
                </w:tcPr>
                <w:p>
                  <w:pPr>
                    <w:widowControl/>
                    <w:spacing w:before="100" w:beforeAutospacing="1" w:after="100" w:afterAutospacing="1"/>
                    <w:jc w:val="center"/>
                    <w:rPr>
                      <w:sz w:val="20"/>
                      <w:szCs w:val="21"/>
                    </w:rPr>
                  </w:pPr>
                  <w:r>
                    <w:rPr>
                      <w:rFonts w:hint="eastAsia"/>
                      <w:sz w:val="20"/>
                      <w:szCs w:val="21"/>
                    </w:rPr>
                    <w:t>900-249-08</w:t>
                  </w:r>
                </w:p>
              </w:tc>
              <w:tc>
                <w:tcPr>
                  <w:tcW w:w="822" w:type="dxa"/>
                  <w:shd w:val="clear" w:color="auto" w:fill="auto"/>
                  <w:vAlign w:val="center"/>
                </w:tcPr>
                <w:p>
                  <w:pPr>
                    <w:jc w:val="center"/>
                    <w:rPr>
                      <w:rFonts w:hint="eastAsia"/>
                      <w:sz w:val="20"/>
                      <w:szCs w:val="21"/>
                    </w:rPr>
                  </w:pPr>
                  <w:r>
                    <w:rPr>
                      <w:rFonts w:hint="eastAsia"/>
                      <w:sz w:val="20"/>
                      <w:szCs w:val="21"/>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8" w:type="dxa"/>
                  <w:gridSpan w:val="10"/>
                  <w:shd w:val="clear" w:color="auto" w:fill="auto"/>
                  <w:vAlign w:val="center"/>
                </w:tcPr>
                <w:p>
                  <w:pPr>
                    <w:spacing w:line="280" w:lineRule="exact"/>
                    <w:jc w:val="center"/>
                    <w:rPr>
                      <w:sz w:val="20"/>
                      <w:szCs w:val="21"/>
                    </w:rPr>
                  </w:pPr>
                  <w:r>
                    <w:rPr>
                      <w:sz w:val="20"/>
                      <w:szCs w:val="21"/>
                    </w:rPr>
                    <w:t>合计</w:t>
                  </w:r>
                </w:p>
              </w:tc>
              <w:tc>
                <w:tcPr>
                  <w:tcW w:w="822" w:type="dxa"/>
                  <w:shd w:val="clear" w:color="auto" w:fill="auto"/>
                  <w:vAlign w:val="center"/>
                </w:tcPr>
                <w:p>
                  <w:pPr>
                    <w:spacing w:line="280" w:lineRule="exact"/>
                    <w:jc w:val="center"/>
                    <w:rPr>
                      <w:sz w:val="20"/>
                      <w:szCs w:val="21"/>
                    </w:rPr>
                  </w:pPr>
                  <w:r>
                    <w:rPr>
                      <w:rFonts w:hint="eastAsia"/>
                      <w:sz w:val="20"/>
                      <w:szCs w:val="21"/>
                    </w:rPr>
                    <w:t>132.45</w:t>
                  </w:r>
                </w:p>
              </w:tc>
            </w:tr>
          </w:tbl>
          <w:p>
            <w:pPr>
              <w:spacing w:line="360" w:lineRule="auto"/>
              <w:ind w:firstLine="480" w:firstLineChars="200"/>
              <w:rPr>
                <w:bCs/>
                <w:sz w:val="24"/>
              </w:rPr>
            </w:pPr>
            <w:r>
              <w:rPr>
                <w:bCs/>
                <w:sz w:val="24"/>
              </w:rPr>
              <w:t>4、噪声</w:t>
            </w:r>
          </w:p>
          <w:p>
            <w:pPr>
              <w:spacing w:line="360" w:lineRule="auto"/>
              <w:ind w:firstLine="480" w:firstLineChars="200"/>
              <w:rPr>
                <w:rFonts w:hint="eastAsia"/>
                <w:bCs/>
                <w:sz w:val="24"/>
              </w:rPr>
            </w:pPr>
            <w:r>
              <w:rPr>
                <w:rFonts w:hint="eastAsia"/>
                <w:bCs/>
                <w:sz w:val="24"/>
              </w:rPr>
              <w:t>本项目主要有交通噪声、人群社会噪声及装卸作业噪声、设备噪声。本项目主要出入口位于项目厂界北侧，紧邻龙藏大道，详见项目总平面布置图3。机械噪声源主要是水泵、压缩冷凝机组和VRV空调系统室外机组。</w:t>
            </w:r>
            <w:r>
              <w:rPr>
                <w:bCs/>
                <w:sz w:val="24"/>
              </w:rPr>
              <w:t>类比得到项目噪声源强见表</w:t>
            </w:r>
            <w:r>
              <w:rPr>
                <w:rFonts w:hint="eastAsia"/>
                <w:bCs/>
                <w:sz w:val="24"/>
              </w:rPr>
              <w:t>6-7</w:t>
            </w:r>
            <w:r>
              <w:rPr>
                <w:bCs/>
                <w:sz w:val="24"/>
              </w:rPr>
              <w:t>所示。</w:t>
            </w:r>
          </w:p>
          <w:p>
            <w:pPr>
              <w:adjustRightInd w:val="0"/>
              <w:snapToGrid w:val="0"/>
              <w:ind w:firstLine="442" w:firstLineChars="200"/>
              <w:jc w:val="center"/>
              <w:rPr>
                <w:rFonts w:hint="eastAsia"/>
                <w:b/>
                <w:snapToGrid w:val="0"/>
                <w:kern w:val="0"/>
                <w:sz w:val="22"/>
              </w:rPr>
            </w:pPr>
            <w:r>
              <w:rPr>
                <w:b/>
                <w:snapToGrid w:val="0"/>
                <w:kern w:val="0"/>
                <w:sz w:val="22"/>
              </w:rPr>
              <w:t>表</w:t>
            </w:r>
            <w:r>
              <w:rPr>
                <w:rFonts w:hint="eastAsia"/>
                <w:b/>
                <w:snapToGrid w:val="0"/>
                <w:kern w:val="0"/>
                <w:sz w:val="22"/>
              </w:rPr>
              <w:t>6-7</w:t>
            </w:r>
            <w:r>
              <w:rPr>
                <w:b/>
                <w:snapToGrid w:val="0"/>
                <w:kern w:val="0"/>
                <w:sz w:val="22"/>
              </w:rPr>
              <w:t xml:space="preserve">  项目主要噪声源强</w:t>
            </w:r>
          </w:p>
          <w:tbl>
            <w:tblPr>
              <w:tblStyle w:val="33"/>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9"/>
              <w:gridCol w:w="819"/>
              <w:gridCol w:w="1094"/>
              <w:gridCol w:w="3013"/>
              <w:gridCol w:w="975"/>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0" w:hRule="atLeast"/>
              </w:trPr>
              <w:tc>
                <w:tcPr>
                  <w:tcW w:w="1519" w:type="dxa"/>
                  <w:vAlign w:val="center"/>
                </w:tcPr>
                <w:p>
                  <w:pPr>
                    <w:spacing w:line="280" w:lineRule="exact"/>
                    <w:jc w:val="center"/>
                    <w:rPr>
                      <w:rFonts w:hint="eastAsia"/>
                      <w:b/>
                      <w:sz w:val="20"/>
                      <w:szCs w:val="21"/>
                    </w:rPr>
                  </w:pPr>
                  <w:r>
                    <w:rPr>
                      <w:rFonts w:hint="eastAsia"/>
                      <w:b/>
                      <w:sz w:val="20"/>
                      <w:szCs w:val="21"/>
                    </w:rPr>
                    <w:t>设备名称</w:t>
                  </w:r>
                </w:p>
              </w:tc>
              <w:tc>
                <w:tcPr>
                  <w:tcW w:w="819" w:type="dxa"/>
                  <w:vAlign w:val="center"/>
                </w:tcPr>
                <w:p>
                  <w:pPr>
                    <w:spacing w:line="280" w:lineRule="exact"/>
                    <w:jc w:val="center"/>
                    <w:rPr>
                      <w:rFonts w:hint="eastAsia"/>
                      <w:b/>
                      <w:sz w:val="20"/>
                      <w:szCs w:val="21"/>
                    </w:rPr>
                  </w:pPr>
                  <w:r>
                    <w:rPr>
                      <w:rFonts w:hint="eastAsia"/>
                      <w:b/>
                      <w:sz w:val="20"/>
                      <w:szCs w:val="21"/>
                    </w:rPr>
                    <w:t>数量</w:t>
                  </w:r>
                </w:p>
              </w:tc>
              <w:tc>
                <w:tcPr>
                  <w:tcW w:w="1094" w:type="dxa"/>
                  <w:vAlign w:val="center"/>
                </w:tcPr>
                <w:p>
                  <w:pPr>
                    <w:spacing w:line="280" w:lineRule="exact"/>
                    <w:jc w:val="center"/>
                    <w:rPr>
                      <w:rFonts w:hint="eastAsia"/>
                      <w:b/>
                      <w:sz w:val="20"/>
                      <w:szCs w:val="21"/>
                    </w:rPr>
                  </w:pPr>
                  <w:r>
                    <w:rPr>
                      <w:rFonts w:hint="eastAsia"/>
                      <w:b/>
                      <w:sz w:val="20"/>
                      <w:szCs w:val="21"/>
                    </w:rPr>
                    <w:t>等效声级dB（A）</w:t>
                  </w:r>
                </w:p>
              </w:tc>
              <w:tc>
                <w:tcPr>
                  <w:tcW w:w="3013" w:type="dxa"/>
                  <w:vAlign w:val="center"/>
                </w:tcPr>
                <w:p>
                  <w:pPr>
                    <w:spacing w:line="280" w:lineRule="exact"/>
                    <w:jc w:val="center"/>
                    <w:rPr>
                      <w:rFonts w:hint="eastAsia"/>
                      <w:b/>
                      <w:sz w:val="20"/>
                      <w:szCs w:val="21"/>
                    </w:rPr>
                  </w:pPr>
                  <w:r>
                    <w:rPr>
                      <w:rFonts w:hint="eastAsia"/>
                      <w:b/>
                      <w:sz w:val="20"/>
                      <w:szCs w:val="21"/>
                    </w:rPr>
                    <w:t>治理措施</w:t>
                  </w:r>
                </w:p>
              </w:tc>
              <w:tc>
                <w:tcPr>
                  <w:tcW w:w="975" w:type="dxa"/>
                  <w:vAlign w:val="center"/>
                </w:tcPr>
                <w:p>
                  <w:pPr>
                    <w:spacing w:line="280" w:lineRule="exact"/>
                    <w:jc w:val="center"/>
                    <w:rPr>
                      <w:rFonts w:hint="eastAsia"/>
                      <w:b/>
                      <w:sz w:val="20"/>
                      <w:szCs w:val="21"/>
                    </w:rPr>
                  </w:pPr>
                  <w:r>
                    <w:rPr>
                      <w:rFonts w:hint="eastAsia"/>
                      <w:b/>
                      <w:sz w:val="20"/>
                      <w:szCs w:val="21"/>
                    </w:rPr>
                    <w:t>距最近厂界距离m</w:t>
                  </w:r>
                </w:p>
              </w:tc>
              <w:tc>
                <w:tcPr>
                  <w:tcW w:w="1130" w:type="dxa"/>
                  <w:vAlign w:val="center"/>
                </w:tcPr>
                <w:p>
                  <w:pPr>
                    <w:spacing w:line="280" w:lineRule="exact"/>
                    <w:jc w:val="center"/>
                    <w:rPr>
                      <w:rFonts w:hint="eastAsia"/>
                      <w:b/>
                      <w:sz w:val="20"/>
                      <w:szCs w:val="21"/>
                    </w:rPr>
                  </w:pPr>
                  <w:r>
                    <w:rPr>
                      <w:rFonts w:hint="eastAsia"/>
                      <w:b/>
                      <w:sz w:val="20"/>
                      <w:szCs w:val="21"/>
                    </w:rPr>
                    <w:t>预计降噪效果dB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2" w:hRule="atLeast"/>
              </w:trPr>
              <w:tc>
                <w:tcPr>
                  <w:tcW w:w="1519" w:type="dxa"/>
                  <w:vAlign w:val="center"/>
                </w:tcPr>
                <w:p>
                  <w:pPr>
                    <w:spacing w:line="280" w:lineRule="exact"/>
                    <w:jc w:val="center"/>
                    <w:rPr>
                      <w:rFonts w:hint="eastAsia"/>
                      <w:sz w:val="20"/>
                      <w:szCs w:val="21"/>
                    </w:rPr>
                  </w:pPr>
                  <w:r>
                    <w:rPr>
                      <w:rFonts w:hint="eastAsia"/>
                      <w:sz w:val="20"/>
                      <w:szCs w:val="21"/>
                    </w:rPr>
                    <w:t>交通噪声</w:t>
                  </w:r>
                </w:p>
              </w:tc>
              <w:tc>
                <w:tcPr>
                  <w:tcW w:w="819" w:type="dxa"/>
                  <w:vAlign w:val="center"/>
                </w:tcPr>
                <w:p>
                  <w:pPr>
                    <w:spacing w:line="280" w:lineRule="exact"/>
                    <w:jc w:val="center"/>
                    <w:rPr>
                      <w:rFonts w:hint="eastAsia"/>
                      <w:sz w:val="20"/>
                      <w:szCs w:val="21"/>
                    </w:rPr>
                  </w:pPr>
                  <w:r>
                    <w:rPr>
                      <w:rFonts w:hint="eastAsia"/>
                      <w:sz w:val="20"/>
                      <w:szCs w:val="21"/>
                    </w:rPr>
                    <w:t>日车流量约为1844辆</w:t>
                  </w:r>
                </w:p>
              </w:tc>
              <w:tc>
                <w:tcPr>
                  <w:tcW w:w="1094" w:type="dxa"/>
                  <w:vAlign w:val="center"/>
                </w:tcPr>
                <w:p>
                  <w:pPr>
                    <w:spacing w:line="280" w:lineRule="exact"/>
                    <w:jc w:val="center"/>
                    <w:rPr>
                      <w:rFonts w:hint="eastAsia"/>
                      <w:sz w:val="20"/>
                      <w:szCs w:val="21"/>
                    </w:rPr>
                  </w:pPr>
                  <w:r>
                    <w:rPr>
                      <w:rFonts w:hint="eastAsia"/>
                      <w:sz w:val="20"/>
                      <w:szCs w:val="21"/>
                    </w:rPr>
                    <w:t>60-80</w:t>
                  </w:r>
                </w:p>
              </w:tc>
              <w:tc>
                <w:tcPr>
                  <w:tcW w:w="3013" w:type="dxa"/>
                  <w:vAlign w:val="center"/>
                </w:tcPr>
                <w:p>
                  <w:pPr>
                    <w:spacing w:line="280" w:lineRule="exact"/>
                    <w:jc w:val="center"/>
                    <w:rPr>
                      <w:rFonts w:hint="eastAsia"/>
                      <w:sz w:val="20"/>
                      <w:szCs w:val="21"/>
                    </w:rPr>
                  </w:pPr>
                  <w:r>
                    <w:rPr>
                      <w:rFonts w:hint="eastAsia"/>
                      <w:sz w:val="20"/>
                      <w:szCs w:val="21"/>
                    </w:rPr>
                    <w:t>合理规划与布局道路；加强车辆管理，禁止鸣笛、限速；合理规划项目内的车流方向，保持车流畅通；物流仓库等建筑物隔声、距离衰减</w:t>
                  </w:r>
                </w:p>
              </w:tc>
              <w:tc>
                <w:tcPr>
                  <w:tcW w:w="975" w:type="dxa"/>
                  <w:vAlign w:val="center"/>
                </w:tcPr>
                <w:p>
                  <w:pPr>
                    <w:spacing w:line="280" w:lineRule="exact"/>
                    <w:jc w:val="center"/>
                    <w:rPr>
                      <w:rFonts w:hint="eastAsia"/>
                      <w:sz w:val="20"/>
                      <w:szCs w:val="21"/>
                    </w:rPr>
                  </w:pPr>
                  <w:r>
                    <w:rPr>
                      <w:rFonts w:hint="eastAsia"/>
                      <w:sz w:val="20"/>
                      <w:szCs w:val="21"/>
                    </w:rPr>
                    <w:t>—</w:t>
                  </w:r>
                </w:p>
              </w:tc>
              <w:tc>
                <w:tcPr>
                  <w:tcW w:w="1130" w:type="dxa"/>
                  <w:vAlign w:val="center"/>
                </w:tcPr>
                <w:p>
                  <w:pPr>
                    <w:spacing w:line="280" w:lineRule="exact"/>
                    <w:jc w:val="center"/>
                    <w:rPr>
                      <w:rFonts w:hint="eastAsia"/>
                      <w:sz w:val="20"/>
                      <w:szCs w:val="21"/>
                    </w:rPr>
                  </w:pPr>
                  <w:r>
                    <w:rPr>
                      <w:rFonts w:hint="eastAsia"/>
                      <w:sz w:val="2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1" w:hRule="atLeast"/>
              </w:trPr>
              <w:tc>
                <w:tcPr>
                  <w:tcW w:w="1519" w:type="dxa"/>
                  <w:vAlign w:val="center"/>
                </w:tcPr>
                <w:p>
                  <w:pPr>
                    <w:spacing w:line="280" w:lineRule="exact"/>
                    <w:jc w:val="center"/>
                    <w:rPr>
                      <w:rFonts w:hint="eastAsia"/>
                      <w:sz w:val="20"/>
                      <w:szCs w:val="21"/>
                    </w:rPr>
                  </w:pPr>
                  <w:r>
                    <w:rPr>
                      <w:rFonts w:hint="eastAsia"/>
                      <w:sz w:val="20"/>
                      <w:szCs w:val="21"/>
                    </w:rPr>
                    <w:t>社会噪声</w:t>
                  </w:r>
                </w:p>
              </w:tc>
              <w:tc>
                <w:tcPr>
                  <w:tcW w:w="819" w:type="dxa"/>
                  <w:vAlign w:val="center"/>
                </w:tcPr>
                <w:p>
                  <w:pPr>
                    <w:spacing w:line="280" w:lineRule="exact"/>
                    <w:jc w:val="center"/>
                    <w:rPr>
                      <w:rFonts w:hint="eastAsia"/>
                      <w:sz w:val="20"/>
                      <w:szCs w:val="21"/>
                    </w:rPr>
                  </w:pPr>
                  <w:r>
                    <w:rPr>
                      <w:rFonts w:hint="eastAsia"/>
                      <w:sz w:val="20"/>
                      <w:szCs w:val="21"/>
                    </w:rPr>
                    <w:t>—</w:t>
                  </w:r>
                </w:p>
              </w:tc>
              <w:tc>
                <w:tcPr>
                  <w:tcW w:w="1094" w:type="dxa"/>
                  <w:vAlign w:val="center"/>
                </w:tcPr>
                <w:p>
                  <w:pPr>
                    <w:spacing w:line="280" w:lineRule="exact"/>
                    <w:jc w:val="center"/>
                    <w:rPr>
                      <w:rFonts w:hint="eastAsia"/>
                      <w:sz w:val="20"/>
                      <w:szCs w:val="21"/>
                    </w:rPr>
                  </w:pPr>
                  <w:r>
                    <w:rPr>
                      <w:rFonts w:hint="eastAsia"/>
                      <w:sz w:val="20"/>
                      <w:szCs w:val="21"/>
                    </w:rPr>
                    <w:t>60-75</w:t>
                  </w:r>
                </w:p>
              </w:tc>
              <w:tc>
                <w:tcPr>
                  <w:tcW w:w="3013" w:type="dxa"/>
                  <w:vAlign w:val="center"/>
                </w:tcPr>
                <w:p>
                  <w:pPr>
                    <w:spacing w:line="280" w:lineRule="exact"/>
                    <w:jc w:val="center"/>
                    <w:rPr>
                      <w:rFonts w:hint="eastAsia"/>
                      <w:sz w:val="20"/>
                      <w:szCs w:val="21"/>
                    </w:rPr>
                  </w:pPr>
                  <w:r>
                    <w:rPr>
                      <w:rFonts w:hint="eastAsia"/>
                      <w:sz w:val="20"/>
                      <w:szCs w:val="21"/>
                    </w:rPr>
                    <w:t>通过墙体及绿化隔声、距离衰减</w:t>
                  </w:r>
                </w:p>
              </w:tc>
              <w:tc>
                <w:tcPr>
                  <w:tcW w:w="975" w:type="dxa"/>
                  <w:vAlign w:val="center"/>
                </w:tcPr>
                <w:p>
                  <w:pPr>
                    <w:spacing w:line="280" w:lineRule="exact"/>
                    <w:jc w:val="center"/>
                    <w:rPr>
                      <w:rFonts w:hint="eastAsia"/>
                      <w:sz w:val="20"/>
                      <w:szCs w:val="21"/>
                    </w:rPr>
                  </w:pPr>
                  <w:r>
                    <w:rPr>
                      <w:rFonts w:hint="eastAsia"/>
                      <w:sz w:val="20"/>
                      <w:szCs w:val="21"/>
                    </w:rPr>
                    <w:t>—</w:t>
                  </w:r>
                </w:p>
              </w:tc>
              <w:tc>
                <w:tcPr>
                  <w:tcW w:w="1130" w:type="dxa"/>
                  <w:vAlign w:val="center"/>
                </w:tcPr>
                <w:p>
                  <w:pPr>
                    <w:spacing w:line="280" w:lineRule="exact"/>
                    <w:jc w:val="center"/>
                    <w:rPr>
                      <w:rFonts w:hint="eastAsia"/>
                      <w:sz w:val="20"/>
                      <w:szCs w:val="21"/>
                    </w:rPr>
                  </w:pPr>
                  <w:r>
                    <w:rPr>
                      <w:rFonts w:hint="eastAsia"/>
                      <w:sz w:val="2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4" w:hRule="atLeast"/>
              </w:trPr>
              <w:tc>
                <w:tcPr>
                  <w:tcW w:w="1519" w:type="dxa"/>
                  <w:vAlign w:val="center"/>
                </w:tcPr>
                <w:p>
                  <w:pPr>
                    <w:spacing w:line="280" w:lineRule="exact"/>
                    <w:jc w:val="center"/>
                    <w:rPr>
                      <w:rFonts w:hint="eastAsia"/>
                      <w:sz w:val="20"/>
                      <w:szCs w:val="21"/>
                    </w:rPr>
                  </w:pPr>
                  <w:r>
                    <w:rPr>
                      <w:rFonts w:hint="eastAsia"/>
                      <w:sz w:val="20"/>
                      <w:szCs w:val="21"/>
                    </w:rPr>
                    <w:t>水泵</w:t>
                  </w:r>
                </w:p>
              </w:tc>
              <w:tc>
                <w:tcPr>
                  <w:tcW w:w="819" w:type="dxa"/>
                  <w:vAlign w:val="center"/>
                </w:tcPr>
                <w:p>
                  <w:pPr>
                    <w:spacing w:line="280" w:lineRule="exact"/>
                    <w:jc w:val="center"/>
                    <w:rPr>
                      <w:rFonts w:hint="eastAsia"/>
                      <w:sz w:val="20"/>
                      <w:szCs w:val="21"/>
                    </w:rPr>
                  </w:pPr>
                  <w:r>
                    <w:rPr>
                      <w:rFonts w:hint="eastAsia"/>
                      <w:sz w:val="20"/>
                      <w:szCs w:val="21"/>
                    </w:rPr>
                    <w:t>2台</w:t>
                  </w:r>
                </w:p>
              </w:tc>
              <w:tc>
                <w:tcPr>
                  <w:tcW w:w="1094" w:type="dxa"/>
                  <w:vAlign w:val="center"/>
                </w:tcPr>
                <w:p>
                  <w:pPr>
                    <w:spacing w:line="280" w:lineRule="exact"/>
                    <w:jc w:val="center"/>
                    <w:rPr>
                      <w:rFonts w:hint="eastAsia"/>
                      <w:sz w:val="20"/>
                      <w:szCs w:val="21"/>
                    </w:rPr>
                  </w:pPr>
                  <w:r>
                    <w:rPr>
                      <w:rFonts w:hint="eastAsia"/>
                      <w:sz w:val="20"/>
                      <w:szCs w:val="21"/>
                    </w:rPr>
                    <w:t>90</w:t>
                  </w:r>
                </w:p>
              </w:tc>
              <w:tc>
                <w:tcPr>
                  <w:tcW w:w="3013" w:type="dxa"/>
                  <w:vAlign w:val="center"/>
                </w:tcPr>
                <w:p>
                  <w:pPr>
                    <w:spacing w:line="280" w:lineRule="exact"/>
                    <w:jc w:val="center"/>
                    <w:rPr>
                      <w:rFonts w:hint="eastAsia"/>
                      <w:sz w:val="20"/>
                      <w:szCs w:val="21"/>
                    </w:rPr>
                  </w:pPr>
                  <w:r>
                    <w:rPr>
                      <w:rFonts w:hint="eastAsia"/>
                      <w:sz w:val="20"/>
                      <w:szCs w:val="21"/>
                    </w:rPr>
                    <w:t>设置于室内，同时</w:t>
                  </w:r>
                  <w:bookmarkStart w:id="16" w:name="OLE_LINK1"/>
                  <w:bookmarkStart w:id="17" w:name="OLE_LINK2"/>
                  <w:r>
                    <w:rPr>
                      <w:rFonts w:hint="eastAsia"/>
                      <w:sz w:val="20"/>
                      <w:szCs w:val="21"/>
                    </w:rPr>
                    <w:t>选用低噪声设备</w:t>
                  </w:r>
                  <w:bookmarkEnd w:id="16"/>
                  <w:bookmarkEnd w:id="17"/>
                  <w:r>
                    <w:rPr>
                      <w:rFonts w:hint="eastAsia"/>
                      <w:sz w:val="20"/>
                      <w:szCs w:val="21"/>
                    </w:rPr>
                    <w:t>、安装减振垫以及增强泵房密闭性等措施</w:t>
                  </w:r>
                </w:p>
              </w:tc>
              <w:tc>
                <w:tcPr>
                  <w:tcW w:w="975" w:type="dxa"/>
                  <w:vAlign w:val="center"/>
                </w:tcPr>
                <w:p>
                  <w:pPr>
                    <w:spacing w:line="280" w:lineRule="exact"/>
                    <w:jc w:val="center"/>
                    <w:rPr>
                      <w:rFonts w:hint="eastAsia"/>
                      <w:sz w:val="20"/>
                      <w:szCs w:val="21"/>
                    </w:rPr>
                  </w:pPr>
                  <w:r>
                    <w:rPr>
                      <w:rFonts w:hint="eastAsia"/>
                      <w:sz w:val="20"/>
                      <w:szCs w:val="21"/>
                    </w:rPr>
                    <w:t>20</w:t>
                  </w:r>
                </w:p>
              </w:tc>
              <w:tc>
                <w:tcPr>
                  <w:tcW w:w="1130" w:type="dxa"/>
                  <w:vAlign w:val="center"/>
                </w:tcPr>
                <w:p>
                  <w:pPr>
                    <w:spacing w:line="280" w:lineRule="exact"/>
                    <w:jc w:val="center"/>
                    <w:rPr>
                      <w:rFonts w:hint="eastAsia"/>
                      <w:sz w:val="20"/>
                      <w:szCs w:val="21"/>
                    </w:rPr>
                  </w:pPr>
                  <w:r>
                    <w:rPr>
                      <w:rFonts w:hint="eastAsia"/>
                      <w:sz w:val="2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2" w:hRule="atLeast"/>
              </w:trPr>
              <w:tc>
                <w:tcPr>
                  <w:tcW w:w="1519" w:type="dxa"/>
                  <w:vAlign w:val="center"/>
                </w:tcPr>
                <w:p>
                  <w:pPr>
                    <w:spacing w:line="280" w:lineRule="exact"/>
                    <w:jc w:val="center"/>
                    <w:rPr>
                      <w:rFonts w:hint="eastAsia"/>
                      <w:sz w:val="20"/>
                      <w:szCs w:val="21"/>
                    </w:rPr>
                  </w:pPr>
                  <w:r>
                    <w:rPr>
                      <w:rFonts w:hint="eastAsia"/>
                      <w:sz w:val="20"/>
                      <w:szCs w:val="21"/>
                    </w:rPr>
                    <w:t>压缩冷凝机组（风冷型）</w:t>
                  </w:r>
                </w:p>
              </w:tc>
              <w:tc>
                <w:tcPr>
                  <w:tcW w:w="819" w:type="dxa"/>
                  <w:vAlign w:val="center"/>
                </w:tcPr>
                <w:p>
                  <w:pPr>
                    <w:spacing w:line="280" w:lineRule="exact"/>
                    <w:jc w:val="center"/>
                    <w:rPr>
                      <w:rFonts w:hint="eastAsia"/>
                      <w:sz w:val="20"/>
                      <w:szCs w:val="21"/>
                    </w:rPr>
                  </w:pPr>
                  <w:r>
                    <w:rPr>
                      <w:rFonts w:hint="eastAsia"/>
                      <w:sz w:val="20"/>
                      <w:szCs w:val="21"/>
                    </w:rPr>
                    <w:t>若干</w:t>
                  </w:r>
                </w:p>
              </w:tc>
              <w:tc>
                <w:tcPr>
                  <w:tcW w:w="1094" w:type="dxa"/>
                  <w:vAlign w:val="center"/>
                </w:tcPr>
                <w:p>
                  <w:pPr>
                    <w:spacing w:line="280" w:lineRule="exact"/>
                    <w:jc w:val="center"/>
                    <w:rPr>
                      <w:rFonts w:hint="eastAsia"/>
                      <w:sz w:val="20"/>
                      <w:szCs w:val="21"/>
                    </w:rPr>
                  </w:pPr>
                  <w:r>
                    <w:rPr>
                      <w:rFonts w:hint="eastAsia"/>
                      <w:sz w:val="20"/>
                      <w:szCs w:val="21"/>
                    </w:rPr>
                    <w:t>100</w:t>
                  </w:r>
                </w:p>
              </w:tc>
              <w:tc>
                <w:tcPr>
                  <w:tcW w:w="3013" w:type="dxa"/>
                  <w:vAlign w:val="center"/>
                </w:tcPr>
                <w:p>
                  <w:pPr>
                    <w:spacing w:line="280" w:lineRule="exact"/>
                    <w:jc w:val="center"/>
                    <w:rPr>
                      <w:rFonts w:hint="eastAsia"/>
                      <w:sz w:val="20"/>
                      <w:szCs w:val="21"/>
                    </w:rPr>
                  </w:pPr>
                  <w:r>
                    <w:rPr>
                      <w:rFonts w:hint="eastAsia"/>
                      <w:sz w:val="20"/>
                      <w:szCs w:val="21"/>
                    </w:rPr>
                    <w:t>设置于冷库内的制冷机房，选用低噪声设备、安装减振垫、增强制冷机房密闭性、距离衰减等措施</w:t>
                  </w:r>
                </w:p>
              </w:tc>
              <w:tc>
                <w:tcPr>
                  <w:tcW w:w="975" w:type="dxa"/>
                  <w:vAlign w:val="center"/>
                </w:tcPr>
                <w:p>
                  <w:pPr>
                    <w:spacing w:line="280" w:lineRule="exact"/>
                    <w:jc w:val="center"/>
                    <w:rPr>
                      <w:rFonts w:hint="eastAsia"/>
                      <w:sz w:val="20"/>
                      <w:szCs w:val="21"/>
                    </w:rPr>
                  </w:pPr>
                  <w:r>
                    <w:rPr>
                      <w:rFonts w:hint="eastAsia"/>
                      <w:sz w:val="20"/>
                      <w:szCs w:val="21"/>
                    </w:rPr>
                    <w:t>80</w:t>
                  </w:r>
                </w:p>
              </w:tc>
              <w:tc>
                <w:tcPr>
                  <w:tcW w:w="1130" w:type="dxa"/>
                  <w:vAlign w:val="center"/>
                </w:tcPr>
                <w:p>
                  <w:pPr>
                    <w:spacing w:line="280" w:lineRule="exact"/>
                    <w:jc w:val="center"/>
                    <w:rPr>
                      <w:rFonts w:hint="eastAsia"/>
                      <w:sz w:val="20"/>
                      <w:szCs w:val="21"/>
                    </w:rPr>
                  </w:pPr>
                  <w:r>
                    <w:rPr>
                      <w:rFonts w:hint="eastAsia"/>
                      <w:sz w:val="2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9" w:hRule="atLeast"/>
              </w:trPr>
              <w:tc>
                <w:tcPr>
                  <w:tcW w:w="1519" w:type="dxa"/>
                  <w:vAlign w:val="center"/>
                </w:tcPr>
                <w:p>
                  <w:pPr>
                    <w:spacing w:line="280" w:lineRule="exact"/>
                    <w:jc w:val="center"/>
                    <w:rPr>
                      <w:rFonts w:hint="eastAsia"/>
                      <w:sz w:val="20"/>
                      <w:szCs w:val="21"/>
                    </w:rPr>
                  </w:pPr>
                  <w:r>
                    <w:rPr>
                      <w:rFonts w:hint="eastAsia"/>
                      <w:sz w:val="20"/>
                      <w:szCs w:val="21"/>
                    </w:rPr>
                    <w:t>VRV空调系统室外机组</w:t>
                  </w:r>
                </w:p>
              </w:tc>
              <w:tc>
                <w:tcPr>
                  <w:tcW w:w="819" w:type="dxa"/>
                  <w:vAlign w:val="center"/>
                </w:tcPr>
                <w:p>
                  <w:pPr>
                    <w:spacing w:line="280" w:lineRule="exact"/>
                    <w:jc w:val="center"/>
                    <w:rPr>
                      <w:rFonts w:hint="eastAsia"/>
                      <w:sz w:val="20"/>
                      <w:szCs w:val="21"/>
                    </w:rPr>
                  </w:pPr>
                  <w:r>
                    <w:rPr>
                      <w:rFonts w:hint="eastAsia"/>
                      <w:sz w:val="20"/>
                      <w:szCs w:val="21"/>
                    </w:rPr>
                    <w:t>若干</w:t>
                  </w:r>
                </w:p>
              </w:tc>
              <w:tc>
                <w:tcPr>
                  <w:tcW w:w="1094" w:type="dxa"/>
                  <w:vAlign w:val="center"/>
                </w:tcPr>
                <w:p>
                  <w:pPr>
                    <w:spacing w:line="280" w:lineRule="exact"/>
                    <w:jc w:val="center"/>
                    <w:rPr>
                      <w:rFonts w:hint="eastAsia"/>
                      <w:sz w:val="20"/>
                      <w:szCs w:val="21"/>
                    </w:rPr>
                  </w:pPr>
                  <w:r>
                    <w:rPr>
                      <w:rFonts w:hint="eastAsia"/>
                      <w:sz w:val="20"/>
                      <w:szCs w:val="21"/>
                    </w:rPr>
                    <w:t>90</w:t>
                  </w:r>
                </w:p>
              </w:tc>
              <w:tc>
                <w:tcPr>
                  <w:tcW w:w="3013" w:type="dxa"/>
                  <w:vAlign w:val="center"/>
                </w:tcPr>
                <w:p>
                  <w:pPr>
                    <w:spacing w:line="280" w:lineRule="exact"/>
                    <w:jc w:val="center"/>
                    <w:rPr>
                      <w:rFonts w:hint="eastAsia"/>
                      <w:sz w:val="20"/>
                      <w:szCs w:val="21"/>
                    </w:rPr>
                  </w:pPr>
                  <w:r>
                    <w:rPr>
                      <w:rFonts w:hint="eastAsia"/>
                      <w:sz w:val="20"/>
                      <w:szCs w:val="21"/>
                    </w:rPr>
                    <w:t>选用低噪声设备，进、出风口安装消声器，采用减振基础和柔性接口，距离衰减等措施</w:t>
                  </w:r>
                </w:p>
              </w:tc>
              <w:tc>
                <w:tcPr>
                  <w:tcW w:w="975" w:type="dxa"/>
                  <w:vAlign w:val="center"/>
                </w:tcPr>
                <w:p>
                  <w:pPr>
                    <w:spacing w:line="280" w:lineRule="exact"/>
                    <w:jc w:val="center"/>
                    <w:rPr>
                      <w:rFonts w:hint="eastAsia"/>
                      <w:sz w:val="20"/>
                      <w:szCs w:val="21"/>
                    </w:rPr>
                  </w:pPr>
                  <w:r>
                    <w:rPr>
                      <w:rFonts w:hint="eastAsia"/>
                      <w:sz w:val="20"/>
                      <w:szCs w:val="21"/>
                    </w:rPr>
                    <w:t>80</w:t>
                  </w:r>
                </w:p>
              </w:tc>
              <w:tc>
                <w:tcPr>
                  <w:tcW w:w="1130" w:type="dxa"/>
                  <w:vAlign w:val="center"/>
                </w:tcPr>
                <w:p>
                  <w:pPr>
                    <w:spacing w:line="280" w:lineRule="exact"/>
                    <w:jc w:val="center"/>
                    <w:rPr>
                      <w:rFonts w:hint="eastAsia"/>
                      <w:sz w:val="20"/>
                      <w:szCs w:val="21"/>
                    </w:rPr>
                  </w:pPr>
                  <w:r>
                    <w:rPr>
                      <w:rFonts w:hint="eastAsia"/>
                      <w:sz w:val="20"/>
                      <w:szCs w:val="21"/>
                    </w:rPr>
                    <w:t>25</w:t>
                  </w:r>
                </w:p>
              </w:tc>
            </w:tr>
          </w:tbl>
          <w:p>
            <w:pPr>
              <w:adjustRightInd w:val="0"/>
              <w:snapToGrid w:val="0"/>
              <w:ind w:firstLine="480" w:firstLineChars="200"/>
              <w:jc w:val="center"/>
              <w:rPr>
                <w:color w:val="000000"/>
                <w:sz w:val="24"/>
              </w:rPr>
            </w:pPr>
          </w:p>
        </w:tc>
      </w:tr>
    </w:tbl>
    <w:p>
      <w:pPr>
        <w:outlineLvl w:val="0"/>
        <w:rPr>
          <w:b/>
          <w:color w:val="000000"/>
          <w:sz w:val="24"/>
        </w:rPr>
      </w:pPr>
      <w:r>
        <w:rPr>
          <w:rFonts w:hint="eastAsia"/>
          <w:b/>
          <w:color w:val="000000"/>
          <w:sz w:val="24"/>
        </w:rPr>
        <w:t>7、</w:t>
      </w:r>
      <w:r>
        <w:rPr>
          <w:b/>
          <w:color w:val="000000"/>
          <w:sz w:val="24"/>
        </w:rPr>
        <w:t>建设项目污染物排放量汇总</w:t>
      </w:r>
      <w:r>
        <w:rPr>
          <w:sz w:val="24"/>
        </w:rPr>
        <w:t>：</w:t>
      </w:r>
    </w:p>
    <w:tbl>
      <w:tblPr>
        <w:tblStyle w:val="33"/>
        <w:tblW w:w="89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14"/>
        <w:gridCol w:w="976"/>
        <w:gridCol w:w="1155"/>
        <w:gridCol w:w="1050"/>
        <w:gridCol w:w="1050"/>
        <w:gridCol w:w="945"/>
        <w:gridCol w:w="1050"/>
        <w:gridCol w:w="1077"/>
        <w:gridCol w:w="8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814" w:type="dxa"/>
            <w:vAlign w:val="center"/>
          </w:tcPr>
          <w:p>
            <w:pPr>
              <w:snapToGrid w:val="0"/>
              <w:jc w:val="center"/>
              <w:rPr>
                <w:b/>
                <w:color w:val="000000"/>
                <w:szCs w:val="21"/>
              </w:rPr>
            </w:pPr>
            <w:r>
              <w:rPr>
                <w:b/>
                <w:color w:val="000000"/>
                <w:szCs w:val="21"/>
              </w:rPr>
              <w:t>种类</w:t>
            </w:r>
          </w:p>
        </w:tc>
        <w:tc>
          <w:tcPr>
            <w:tcW w:w="976" w:type="dxa"/>
            <w:vAlign w:val="center"/>
          </w:tcPr>
          <w:p>
            <w:pPr>
              <w:snapToGrid w:val="0"/>
              <w:jc w:val="center"/>
              <w:rPr>
                <w:b/>
                <w:color w:val="000000"/>
                <w:szCs w:val="21"/>
              </w:rPr>
            </w:pPr>
            <w:r>
              <w:rPr>
                <w:b/>
                <w:color w:val="000000"/>
                <w:szCs w:val="21"/>
              </w:rPr>
              <w:t>排放源</w:t>
            </w:r>
          </w:p>
        </w:tc>
        <w:tc>
          <w:tcPr>
            <w:tcW w:w="1155" w:type="dxa"/>
            <w:vAlign w:val="center"/>
          </w:tcPr>
          <w:p>
            <w:pPr>
              <w:snapToGrid w:val="0"/>
              <w:jc w:val="center"/>
              <w:rPr>
                <w:b/>
                <w:color w:val="000000"/>
                <w:szCs w:val="21"/>
              </w:rPr>
            </w:pPr>
            <w:r>
              <w:rPr>
                <w:b/>
                <w:color w:val="000000"/>
                <w:szCs w:val="21"/>
              </w:rPr>
              <w:t>污染物</w:t>
            </w:r>
          </w:p>
          <w:p>
            <w:pPr>
              <w:snapToGrid w:val="0"/>
              <w:jc w:val="center"/>
              <w:rPr>
                <w:b/>
                <w:color w:val="000000"/>
                <w:szCs w:val="21"/>
              </w:rPr>
            </w:pPr>
            <w:r>
              <w:rPr>
                <w:b/>
                <w:color w:val="000000"/>
                <w:szCs w:val="21"/>
              </w:rPr>
              <w:t>名称</w:t>
            </w:r>
          </w:p>
        </w:tc>
        <w:tc>
          <w:tcPr>
            <w:tcW w:w="1050" w:type="dxa"/>
            <w:vAlign w:val="center"/>
          </w:tcPr>
          <w:p>
            <w:pPr>
              <w:snapToGrid w:val="0"/>
              <w:jc w:val="center"/>
              <w:rPr>
                <w:b/>
                <w:color w:val="000000"/>
                <w:szCs w:val="21"/>
              </w:rPr>
            </w:pPr>
            <w:r>
              <w:rPr>
                <w:b/>
                <w:color w:val="000000"/>
                <w:szCs w:val="21"/>
              </w:rPr>
              <w:t>产生浓度mg/m</w:t>
            </w:r>
            <w:r>
              <w:rPr>
                <w:b/>
                <w:color w:val="000000"/>
                <w:szCs w:val="21"/>
                <w:vertAlign w:val="superscript"/>
              </w:rPr>
              <w:t>3</w:t>
            </w:r>
          </w:p>
        </w:tc>
        <w:tc>
          <w:tcPr>
            <w:tcW w:w="1050" w:type="dxa"/>
            <w:vAlign w:val="center"/>
          </w:tcPr>
          <w:p>
            <w:pPr>
              <w:pStyle w:val="55"/>
              <w:widowControl w:val="0"/>
              <w:pBdr>
                <w:bottom w:val="none" w:color="auto" w:sz="0" w:space="0"/>
              </w:pBdr>
              <w:snapToGrid w:val="0"/>
              <w:spacing w:before="0" w:after="0"/>
              <w:rPr>
                <w:rFonts w:ascii="Times New Roman" w:hAnsi="Times New Roman"/>
                <w:b/>
                <w:color w:val="000000"/>
                <w:spacing w:val="-20"/>
                <w:kern w:val="2"/>
                <w:szCs w:val="21"/>
              </w:rPr>
            </w:pPr>
            <w:r>
              <w:rPr>
                <w:rFonts w:ascii="Times New Roman" w:hAnsi="Times New Roman"/>
                <w:b/>
                <w:color w:val="000000"/>
                <w:spacing w:val="-20"/>
                <w:kern w:val="2"/>
                <w:szCs w:val="21"/>
              </w:rPr>
              <w:t>产生量</w:t>
            </w:r>
          </w:p>
          <w:p>
            <w:pPr>
              <w:pStyle w:val="55"/>
              <w:widowControl w:val="0"/>
              <w:pBdr>
                <w:bottom w:val="none" w:color="auto" w:sz="0" w:space="0"/>
              </w:pBdr>
              <w:snapToGrid w:val="0"/>
              <w:spacing w:before="0" w:after="0"/>
              <w:rPr>
                <w:rFonts w:ascii="Times New Roman" w:hAnsi="Times New Roman"/>
                <w:b/>
                <w:color w:val="000000"/>
                <w:spacing w:val="-20"/>
                <w:kern w:val="2"/>
                <w:szCs w:val="21"/>
              </w:rPr>
            </w:pPr>
            <w:r>
              <w:rPr>
                <w:rFonts w:ascii="Times New Roman" w:hAnsi="Times New Roman"/>
                <w:b/>
                <w:color w:val="000000"/>
                <w:spacing w:val="-20"/>
                <w:kern w:val="2"/>
                <w:szCs w:val="21"/>
              </w:rPr>
              <w:t>t/a</w:t>
            </w:r>
          </w:p>
        </w:tc>
        <w:tc>
          <w:tcPr>
            <w:tcW w:w="945" w:type="dxa"/>
            <w:vAlign w:val="center"/>
          </w:tcPr>
          <w:p>
            <w:pPr>
              <w:pStyle w:val="55"/>
              <w:widowControl w:val="0"/>
              <w:pBdr>
                <w:bottom w:val="none" w:color="auto" w:sz="0" w:space="0"/>
              </w:pBdr>
              <w:snapToGrid w:val="0"/>
              <w:spacing w:before="0" w:after="0"/>
              <w:rPr>
                <w:rFonts w:ascii="Times New Roman" w:hAnsi="Times New Roman"/>
                <w:b/>
                <w:color w:val="000000"/>
                <w:spacing w:val="-20"/>
                <w:kern w:val="2"/>
                <w:szCs w:val="21"/>
              </w:rPr>
            </w:pPr>
            <w:r>
              <w:rPr>
                <w:rFonts w:ascii="Times New Roman" w:hAnsi="Times New Roman"/>
                <w:b/>
                <w:color w:val="000000"/>
                <w:spacing w:val="-20"/>
                <w:kern w:val="2"/>
                <w:szCs w:val="21"/>
              </w:rPr>
              <w:t>排放浓度mg/m</w:t>
            </w:r>
            <w:r>
              <w:rPr>
                <w:rFonts w:ascii="Times New Roman" w:hAnsi="Times New Roman"/>
                <w:b/>
                <w:color w:val="000000"/>
                <w:spacing w:val="-20"/>
                <w:kern w:val="2"/>
                <w:szCs w:val="21"/>
                <w:vertAlign w:val="superscript"/>
              </w:rPr>
              <w:t>3</w:t>
            </w:r>
          </w:p>
        </w:tc>
        <w:tc>
          <w:tcPr>
            <w:tcW w:w="1050" w:type="dxa"/>
            <w:vAlign w:val="center"/>
          </w:tcPr>
          <w:p>
            <w:pPr>
              <w:snapToGrid w:val="0"/>
              <w:jc w:val="center"/>
              <w:rPr>
                <w:b/>
                <w:color w:val="000000"/>
                <w:szCs w:val="21"/>
              </w:rPr>
            </w:pPr>
            <w:r>
              <w:rPr>
                <w:b/>
                <w:color w:val="000000"/>
                <w:szCs w:val="21"/>
              </w:rPr>
              <w:t>排放速率kg/h</w:t>
            </w:r>
          </w:p>
        </w:tc>
        <w:tc>
          <w:tcPr>
            <w:tcW w:w="1077" w:type="dxa"/>
            <w:vAlign w:val="center"/>
          </w:tcPr>
          <w:p>
            <w:pPr>
              <w:snapToGrid w:val="0"/>
              <w:jc w:val="center"/>
              <w:rPr>
                <w:b/>
                <w:color w:val="000000"/>
                <w:szCs w:val="21"/>
              </w:rPr>
            </w:pPr>
            <w:r>
              <w:rPr>
                <w:b/>
                <w:color w:val="000000"/>
                <w:szCs w:val="21"/>
              </w:rPr>
              <w:t>排放量</w:t>
            </w:r>
          </w:p>
          <w:p>
            <w:pPr>
              <w:snapToGrid w:val="0"/>
              <w:jc w:val="center"/>
              <w:rPr>
                <w:b/>
                <w:color w:val="000000"/>
                <w:szCs w:val="21"/>
              </w:rPr>
            </w:pPr>
            <w:r>
              <w:rPr>
                <w:b/>
                <w:color w:val="000000"/>
                <w:szCs w:val="21"/>
              </w:rPr>
              <w:t>t/a</w:t>
            </w:r>
          </w:p>
        </w:tc>
        <w:tc>
          <w:tcPr>
            <w:tcW w:w="828" w:type="dxa"/>
            <w:vAlign w:val="center"/>
          </w:tcPr>
          <w:p>
            <w:pPr>
              <w:snapToGrid w:val="0"/>
              <w:jc w:val="center"/>
              <w:rPr>
                <w:b/>
                <w:color w:val="000000"/>
                <w:szCs w:val="21"/>
              </w:rPr>
            </w:pPr>
            <w:r>
              <w:rPr>
                <w:b/>
                <w:color w:val="000000"/>
                <w:szCs w:val="21"/>
              </w:rPr>
              <w:t>排放</w:t>
            </w:r>
          </w:p>
          <w:p>
            <w:pPr>
              <w:snapToGrid w:val="0"/>
              <w:jc w:val="center"/>
              <w:rPr>
                <w:b/>
                <w:color w:val="000000"/>
                <w:szCs w:val="21"/>
              </w:rPr>
            </w:pPr>
            <w:r>
              <w:rPr>
                <w:b/>
                <w:color w:val="000000"/>
                <w:szCs w:val="21"/>
              </w:rPr>
              <w:t>去向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78" w:hRule="atLeast"/>
          <w:jc w:val="center"/>
        </w:trPr>
        <w:tc>
          <w:tcPr>
            <w:tcW w:w="814" w:type="dxa"/>
            <w:vMerge w:val="restart"/>
            <w:vAlign w:val="center"/>
          </w:tcPr>
          <w:p>
            <w:pPr>
              <w:snapToGrid w:val="0"/>
              <w:jc w:val="center"/>
              <w:rPr>
                <w:color w:val="000000"/>
                <w:szCs w:val="21"/>
              </w:rPr>
            </w:pPr>
            <w:r>
              <w:rPr>
                <w:color w:val="000000"/>
                <w:szCs w:val="21"/>
              </w:rPr>
              <w:t>大</w:t>
            </w:r>
          </w:p>
          <w:p>
            <w:pPr>
              <w:snapToGrid w:val="0"/>
              <w:jc w:val="center"/>
              <w:rPr>
                <w:color w:val="000000"/>
                <w:szCs w:val="21"/>
              </w:rPr>
            </w:pPr>
            <w:r>
              <w:rPr>
                <w:color w:val="000000"/>
                <w:szCs w:val="21"/>
              </w:rPr>
              <w:t>气</w:t>
            </w:r>
          </w:p>
          <w:p>
            <w:pPr>
              <w:snapToGrid w:val="0"/>
              <w:jc w:val="center"/>
              <w:rPr>
                <w:color w:val="000000"/>
                <w:szCs w:val="21"/>
              </w:rPr>
            </w:pPr>
            <w:r>
              <w:rPr>
                <w:color w:val="000000"/>
                <w:szCs w:val="21"/>
              </w:rPr>
              <w:t>污</w:t>
            </w:r>
          </w:p>
          <w:p>
            <w:pPr>
              <w:snapToGrid w:val="0"/>
              <w:jc w:val="center"/>
              <w:rPr>
                <w:color w:val="000000"/>
                <w:szCs w:val="21"/>
              </w:rPr>
            </w:pPr>
            <w:r>
              <w:rPr>
                <w:color w:val="000000"/>
                <w:szCs w:val="21"/>
              </w:rPr>
              <w:t>染</w:t>
            </w:r>
          </w:p>
          <w:p>
            <w:pPr>
              <w:snapToGrid w:val="0"/>
              <w:jc w:val="center"/>
              <w:rPr>
                <w:color w:val="000000"/>
                <w:szCs w:val="21"/>
              </w:rPr>
            </w:pPr>
            <w:r>
              <w:rPr>
                <w:color w:val="000000"/>
                <w:szCs w:val="21"/>
              </w:rPr>
              <w:t>物</w:t>
            </w:r>
          </w:p>
        </w:tc>
        <w:tc>
          <w:tcPr>
            <w:tcW w:w="976" w:type="dxa"/>
            <w:vMerge w:val="restart"/>
            <w:vAlign w:val="center"/>
          </w:tcPr>
          <w:p>
            <w:pPr>
              <w:widowControl/>
              <w:snapToGrid w:val="0"/>
              <w:jc w:val="center"/>
              <w:rPr>
                <w:color w:val="000000"/>
                <w:kern w:val="0"/>
                <w:szCs w:val="21"/>
              </w:rPr>
            </w:pPr>
            <w:r>
              <w:rPr>
                <w:rFonts w:hint="eastAsia"/>
                <w:color w:val="000000"/>
                <w:kern w:val="0"/>
                <w:szCs w:val="21"/>
              </w:rPr>
              <w:t>地面停车场</w:t>
            </w:r>
          </w:p>
        </w:tc>
        <w:tc>
          <w:tcPr>
            <w:tcW w:w="1155" w:type="dxa"/>
            <w:tcBorders>
              <w:bottom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CO</w:t>
            </w:r>
          </w:p>
        </w:tc>
        <w:tc>
          <w:tcPr>
            <w:tcW w:w="1050" w:type="dxa"/>
            <w:tcBorders>
              <w:bottom w:val="single" w:color="auto" w:sz="4" w:space="0"/>
            </w:tcBorders>
            <w:vAlign w:val="center"/>
          </w:tcPr>
          <w:p>
            <w:pPr>
              <w:spacing w:line="320" w:lineRule="exact"/>
              <w:jc w:val="center"/>
              <w:rPr>
                <w:szCs w:val="21"/>
              </w:rPr>
            </w:pPr>
            <w:r>
              <w:rPr>
                <w:szCs w:val="21"/>
              </w:rPr>
              <w:t>/</w:t>
            </w:r>
          </w:p>
        </w:tc>
        <w:tc>
          <w:tcPr>
            <w:tcW w:w="1050" w:type="dxa"/>
            <w:tcBorders>
              <w:bottom w:val="single" w:color="auto" w:sz="4" w:space="0"/>
            </w:tcBorders>
            <w:vAlign w:val="center"/>
          </w:tcPr>
          <w:p>
            <w:pPr>
              <w:adjustRightInd w:val="0"/>
              <w:snapToGrid w:val="0"/>
              <w:spacing w:line="320" w:lineRule="exact"/>
              <w:jc w:val="center"/>
              <w:rPr>
                <w:color w:val="000000"/>
                <w:sz w:val="18"/>
                <w:szCs w:val="21"/>
              </w:rPr>
            </w:pPr>
            <w:r>
              <w:rPr>
                <w:rFonts w:hint="eastAsia"/>
                <w:color w:val="000000"/>
                <w:sz w:val="18"/>
                <w:szCs w:val="21"/>
              </w:rPr>
              <w:t>0.66</w:t>
            </w:r>
          </w:p>
        </w:tc>
        <w:tc>
          <w:tcPr>
            <w:tcW w:w="945" w:type="dxa"/>
            <w:tcBorders>
              <w:bottom w:val="single" w:color="auto" w:sz="4" w:space="0"/>
            </w:tcBorders>
            <w:vAlign w:val="center"/>
          </w:tcPr>
          <w:p>
            <w:pPr>
              <w:spacing w:line="320" w:lineRule="exact"/>
              <w:jc w:val="center"/>
              <w:rPr>
                <w:szCs w:val="21"/>
              </w:rPr>
            </w:pPr>
            <w:r>
              <w:rPr>
                <w:szCs w:val="21"/>
              </w:rPr>
              <w:t>/</w:t>
            </w:r>
          </w:p>
        </w:tc>
        <w:tc>
          <w:tcPr>
            <w:tcW w:w="1050" w:type="dxa"/>
            <w:tcBorders>
              <w:bottom w:val="single" w:color="auto" w:sz="4" w:space="0"/>
            </w:tcBorders>
            <w:vAlign w:val="center"/>
          </w:tcPr>
          <w:p>
            <w:pPr>
              <w:spacing w:line="320" w:lineRule="exact"/>
              <w:jc w:val="center"/>
              <w:rPr>
                <w:szCs w:val="21"/>
              </w:rPr>
            </w:pPr>
            <w:r>
              <w:rPr>
                <w:szCs w:val="21"/>
              </w:rPr>
              <w:t>/</w:t>
            </w:r>
          </w:p>
        </w:tc>
        <w:tc>
          <w:tcPr>
            <w:tcW w:w="1077" w:type="dxa"/>
            <w:tcBorders>
              <w:bottom w:val="single" w:color="auto" w:sz="4" w:space="0"/>
            </w:tcBorders>
            <w:vAlign w:val="center"/>
          </w:tcPr>
          <w:p>
            <w:pPr>
              <w:adjustRightInd w:val="0"/>
              <w:snapToGrid w:val="0"/>
              <w:spacing w:line="320" w:lineRule="exact"/>
              <w:jc w:val="center"/>
              <w:rPr>
                <w:color w:val="000000"/>
                <w:sz w:val="18"/>
                <w:szCs w:val="21"/>
              </w:rPr>
            </w:pPr>
            <w:r>
              <w:rPr>
                <w:rFonts w:hint="eastAsia"/>
                <w:color w:val="000000"/>
                <w:sz w:val="18"/>
                <w:szCs w:val="21"/>
              </w:rPr>
              <w:t>0.66</w:t>
            </w:r>
          </w:p>
        </w:tc>
        <w:tc>
          <w:tcPr>
            <w:tcW w:w="828" w:type="dxa"/>
            <w:vMerge w:val="restart"/>
            <w:vAlign w:val="center"/>
          </w:tcPr>
          <w:p>
            <w:pPr>
              <w:snapToGrid w:val="0"/>
              <w:jc w:val="center"/>
              <w:rPr>
                <w:color w:val="000000"/>
                <w:szCs w:val="21"/>
              </w:rPr>
            </w:pPr>
            <w:r>
              <w:rPr>
                <w:color w:val="000000"/>
                <w:szCs w:val="21"/>
              </w:rPr>
              <w:t>区域大气</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9"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widowControl/>
              <w:snapToGrid w:val="0"/>
              <w:jc w:val="center"/>
              <w:rPr>
                <w:color w:val="000000"/>
                <w:kern w:val="0"/>
                <w:szCs w:val="21"/>
              </w:rPr>
            </w:pPr>
          </w:p>
        </w:tc>
        <w:tc>
          <w:tcPr>
            <w:tcW w:w="1155" w:type="dxa"/>
            <w:tcBorders>
              <w:bottom w:val="single" w:color="auto" w:sz="4" w:space="0"/>
            </w:tcBorders>
            <w:vAlign w:val="center"/>
          </w:tcPr>
          <w:p>
            <w:pPr>
              <w:adjustRightInd w:val="0"/>
              <w:snapToGrid w:val="0"/>
              <w:spacing w:line="320" w:lineRule="exact"/>
              <w:jc w:val="center"/>
              <w:rPr>
                <w:rFonts w:hint="eastAsia"/>
                <w:color w:val="000000"/>
                <w:sz w:val="18"/>
                <w:szCs w:val="21"/>
              </w:rPr>
            </w:pPr>
            <w:r>
              <w:rPr>
                <w:rFonts w:hint="eastAsia"/>
                <w:color w:val="000000"/>
                <w:sz w:val="18"/>
                <w:szCs w:val="21"/>
              </w:rPr>
              <w:t>NO</w:t>
            </w:r>
            <w:r>
              <w:rPr>
                <w:rFonts w:hint="eastAsia"/>
                <w:color w:val="000000"/>
                <w:sz w:val="18"/>
                <w:szCs w:val="21"/>
                <w:vertAlign w:val="subscript"/>
              </w:rPr>
              <w:t>X</w:t>
            </w:r>
          </w:p>
        </w:tc>
        <w:tc>
          <w:tcPr>
            <w:tcW w:w="1050" w:type="dxa"/>
            <w:tcBorders>
              <w:bottom w:val="single" w:color="auto" w:sz="4" w:space="0"/>
            </w:tcBorders>
            <w:vAlign w:val="center"/>
          </w:tcPr>
          <w:p>
            <w:pPr>
              <w:spacing w:line="320" w:lineRule="exact"/>
              <w:jc w:val="center"/>
              <w:rPr>
                <w:szCs w:val="21"/>
              </w:rPr>
            </w:pPr>
            <w:r>
              <w:rPr>
                <w:szCs w:val="21"/>
              </w:rPr>
              <w:t>/</w:t>
            </w:r>
          </w:p>
        </w:tc>
        <w:tc>
          <w:tcPr>
            <w:tcW w:w="1050" w:type="dxa"/>
            <w:tcBorders>
              <w:bottom w:val="single" w:color="auto" w:sz="4" w:space="0"/>
            </w:tcBorders>
            <w:vAlign w:val="center"/>
          </w:tcPr>
          <w:p>
            <w:pPr>
              <w:adjustRightInd w:val="0"/>
              <w:snapToGrid w:val="0"/>
              <w:spacing w:line="320" w:lineRule="exact"/>
              <w:jc w:val="center"/>
              <w:rPr>
                <w:color w:val="000000"/>
                <w:sz w:val="18"/>
                <w:szCs w:val="21"/>
              </w:rPr>
            </w:pPr>
            <w:r>
              <w:rPr>
                <w:rFonts w:hint="eastAsia"/>
                <w:color w:val="000000"/>
                <w:sz w:val="18"/>
                <w:szCs w:val="21"/>
              </w:rPr>
              <w:t>0.41</w:t>
            </w:r>
          </w:p>
        </w:tc>
        <w:tc>
          <w:tcPr>
            <w:tcW w:w="945" w:type="dxa"/>
            <w:tcBorders>
              <w:bottom w:val="single" w:color="auto" w:sz="4" w:space="0"/>
            </w:tcBorders>
            <w:vAlign w:val="center"/>
          </w:tcPr>
          <w:p>
            <w:pPr>
              <w:spacing w:line="320" w:lineRule="exact"/>
              <w:jc w:val="center"/>
              <w:rPr>
                <w:szCs w:val="21"/>
              </w:rPr>
            </w:pPr>
            <w:r>
              <w:rPr>
                <w:szCs w:val="21"/>
              </w:rPr>
              <w:t>/</w:t>
            </w:r>
          </w:p>
        </w:tc>
        <w:tc>
          <w:tcPr>
            <w:tcW w:w="1050" w:type="dxa"/>
            <w:tcBorders>
              <w:bottom w:val="single" w:color="auto" w:sz="4" w:space="0"/>
            </w:tcBorders>
            <w:vAlign w:val="center"/>
          </w:tcPr>
          <w:p>
            <w:pPr>
              <w:spacing w:line="320" w:lineRule="exact"/>
              <w:jc w:val="center"/>
              <w:rPr>
                <w:szCs w:val="21"/>
              </w:rPr>
            </w:pPr>
            <w:r>
              <w:rPr>
                <w:szCs w:val="21"/>
              </w:rPr>
              <w:t>/</w:t>
            </w:r>
          </w:p>
        </w:tc>
        <w:tc>
          <w:tcPr>
            <w:tcW w:w="1077" w:type="dxa"/>
            <w:tcBorders>
              <w:bottom w:val="single" w:color="auto" w:sz="4" w:space="0"/>
            </w:tcBorders>
            <w:vAlign w:val="center"/>
          </w:tcPr>
          <w:p>
            <w:pPr>
              <w:adjustRightInd w:val="0"/>
              <w:snapToGrid w:val="0"/>
              <w:spacing w:line="320" w:lineRule="exact"/>
              <w:jc w:val="center"/>
              <w:rPr>
                <w:color w:val="000000"/>
                <w:sz w:val="18"/>
                <w:szCs w:val="21"/>
              </w:rPr>
            </w:pPr>
            <w:r>
              <w:rPr>
                <w:rFonts w:hint="eastAsia"/>
                <w:color w:val="000000"/>
                <w:sz w:val="18"/>
                <w:szCs w:val="21"/>
              </w:rPr>
              <w:t>0.41</w:t>
            </w:r>
          </w:p>
        </w:tc>
        <w:tc>
          <w:tcPr>
            <w:tcW w:w="828" w:type="dxa"/>
            <w:vMerge w:val="continue"/>
            <w:vAlign w:val="center"/>
          </w:tcPr>
          <w:p>
            <w:pPr>
              <w:snapToGrid w:val="0"/>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814" w:type="dxa"/>
            <w:vAlign w:val="center"/>
          </w:tcPr>
          <w:p>
            <w:pPr>
              <w:snapToGrid w:val="0"/>
              <w:jc w:val="center"/>
              <w:rPr>
                <w:b/>
                <w:color w:val="000000"/>
                <w:szCs w:val="21"/>
              </w:rPr>
            </w:pPr>
            <w:r>
              <w:rPr>
                <w:b/>
                <w:color w:val="000000"/>
                <w:szCs w:val="21"/>
              </w:rPr>
              <w:t>种类</w:t>
            </w:r>
          </w:p>
        </w:tc>
        <w:tc>
          <w:tcPr>
            <w:tcW w:w="976" w:type="dxa"/>
            <w:vAlign w:val="center"/>
          </w:tcPr>
          <w:p>
            <w:pPr>
              <w:adjustRightInd w:val="0"/>
              <w:snapToGrid w:val="0"/>
              <w:jc w:val="center"/>
              <w:rPr>
                <w:b/>
                <w:color w:val="000000"/>
                <w:szCs w:val="21"/>
              </w:rPr>
            </w:pPr>
            <w:r>
              <w:rPr>
                <w:b/>
                <w:color w:val="000000"/>
                <w:szCs w:val="21"/>
              </w:rPr>
              <w:t>排放源</w:t>
            </w:r>
          </w:p>
          <w:p>
            <w:pPr>
              <w:snapToGrid w:val="0"/>
              <w:jc w:val="center"/>
              <w:rPr>
                <w:b/>
                <w:color w:val="000000"/>
                <w:szCs w:val="21"/>
              </w:rPr>
            </w:pPr>
            <w:r>
              <w:rPr>
                <w:b/>
                <w:color w:val="000000"/>
                <w:szCs w:val="21"/>
              </w:rPr>
              <w:t>（编号）</w:t>
            </w:r>
          </w:p>
        </w:tc>
        <w:tc>
          <w:tcPr>
            <w:tcW w:w="1155" w:type="dxa"/>
            <w:vAlign w:val="center"/>
          </w:tcPr>
          <w:p>
            <w:pPr>
              <w:snapToGrid w:val="0"/>
              <w:jc w:val="center"/>
              <w:rPr>
                <w:b/>
                <w:color w:val="000000"/>
                <w:szCs w:val="21"/>
              </w:rPr>
            </w:pPr>
            <w:r>
              <w:rPr>
                <w:b/>
                <w:color w:val="000000"/>
                <w:szCs w:val="21"/>
              </w:rPr>
              <w:t>污染物</w:t>
            </w:r>
          </w:p>
          <w:p>
            <w:pPr>
              <w:snapToGrid w:val="0"/>
              <w:jc w:val="center"/>
              <w:rPr>
                <w:b/>
                <w:color w:val="000000"/>
                <w:szCs w:val="21"/>
              </w:rPr>
            </w:pPr>
            <w:r>
              <w:rPr>
                <w:b/>
                <w:color w:val="000000"/>
                <w:szCs w:val="21"/>
              </w:rPr>
              <w:t>名称</w:t>
            </w:r>
          </w:p>
        </w:tc>
        <w:tc>
          <w:tcPr>
            <w:tcW w:w="1050" w:type="dxa"/>
            <w:vAlign w:val="center"/>
          </w:tcPr>
          <w:p>
            <w:pPr>
              <w:snapToGrid w:val="0"/>
              <w:jc w:val="center"/>
              <w:rPr>
                <w:b/>
                <w:color w:val="000000"/>
                <w:szCs w:val="21"/>
              </w:rPr>
            </w:pPr>
            <w:r>
              <w:rPr>
                <w:b/>
                <w:color w:val="000000"/>
                <w:szCs w:val="21"/>
              </w:rPr>
              <w:t>废水量t/a</w:t>
            </w:r>
          </w:p>
        </w:tc>
        <w:tc>
          <w:tcPr>
            <w:tcW w:w="1050" w:type="dxa"/>
            <w:vAlign w:val="center"/>
          </w:tcPr>
          <w:p>
            <w:pPr>
              <w:pStyle w:val="55"/>
              <w:widowControl w:val="0"/>
              <w:pBdr>
                <w:bottom w:val="none" w:color="auto" w:sz="0" w:space="0"/>
              </w:pBdr>
              <w:snapToGrid w:val="0"/>
              <w:spacing w:before="0" w:after="0"/>
              <w:rPr>
                <w:rFonts w:ascii="Times New Roman" w:hAnsi="Times New Roman"/>
                <w:b/>
                <w:color w:val="000000"/>
                <w:spacing w:val="-20"/>
                <w:kern w:val="2"/>
                <w:szCs w:val="21"/>
              </w:rPr>
            </w:pPr>
            <w:r>
              <w:rPr>
                <w:rFonts w:ascii="Times New Roman" w:hAnsi="Times New Roman"/>
                <w:b/>
                <w:color w:val="000000"/>
                <w:spacing w:val="-20"/>
                <w:kern w:val="2"/>
                <w:szCs w:val="21"/>
              </w:rPr>
              <w:t>产生浓度</w:t>
            </w:r>
          </w:p>
          <w:p>
            <w:pPr>
              <w:snapToGrid w:val="0"/>
              <w:jc w:val="center"/>
              <w:rPr>
                <w:b/>
                <w:color w:val="000000"/>
                <w:szCs w:val="21"/>
              </w:rPr>
            </w:pPr>
            <w:r>
              <w:rPr>
                <w:b/>
                <w:color w:val="000000"/>
                <w:szCs w:val="21"/>
              </w:rPr>
              <w:t>mg/L</w:t>
            </w:r>
          </w:p>
        </w:tc>
        <w:tc>
          <w:tcPr>
            <w:tcW w:w="945" w:type="dxa"/>
            <w:vAlign w:val="center"/>
          </w:tcPr>
          <w:p>
            <w:pPr>
              <w:snapToGrid w:val="0"/>
              <w:jc w:val="center"/>
              <w:rPr>
                <w:b/>
                <w:color w:val="000000"/>
                <w:szCs w:val="21"/>
              </w:rPr>
            </w:pPr>
            <w:r>
              <w:rPr>
                <w:b/>
                <w:color w:val="000000"/>
                <w:szCs w:val="21"/>
              </w:rPr>
              <w:t>产生量t/a</w:t>
            </w:r>
          </w:p>
        </w:tc>
        <w:tc>
          <w:tcPr>
            <w:tcW w:w="1050" w:type="dxa"/>
            <w:vAlign w:val="center"/>
          </w:tcPr>
          <w:p>
            <w:pPr>
              <w:snapToGrid w:val="0"/>
              <w:jc w:val="center"/>
              <w:rPr>
                <w:b/>
                <w:color w:val="000000"/>
                <w:szCs w:val="21"/>
              </w:rPr>
            </w:pPr>
            <w:r>
              <w:rPr>
                <w:b/>
                <w:color w:val="000000"/>
                <w:szCs w:val="21"/>
              </w:rPr>
              <w:t>排放浓度mg/L</w:t>
            </w:r>
          </w:p>
        </w:tc>
        <w:tc>
          <w:tcPr>
            <w:tcW w:w="1077" w:type="dxa"/>
            <w:vAlign w:val="center"/>
          </w:tcPr>
          <w:p>
            <w:pPr>
              <w:snapToGrid w:val="0"/>
              <w:jc w:val="center"/>
              <w:rPr>
                <w:b/>
                <w:color w:val="000000"/>
                <w:szCs w:val="21"/>
              </w:rPr>
            </w:pPr>
            <w:r>
              <w:rPr>
                <w:b/>
                <w:color w:val="000000"/>
                <w:szCs w:val="21"/>
              </w:rPr>
              <w:t>排放量t/a</w:t>
            </w:r>
          </w:p>
        </w:tc>
        <w:tc>
          <w:tcPr>
            <w:tcW w:w="828" w:type="dxa"/>
            <w:vAlign w:val="center"/>
          </w:tcPr>
          <w:p>
            <w:pPr>
              <w:snapToGrid w:val="0"/>
              <w:jc w:val="center"/>
              <w:rPr>
                <w:b/>
                <w:color w:val="000000"/>
                <w:szCs w:val="21"/>
              </w:rPr>
            </w:pPr>
            <w:r>
              <w:rPr>
                <w:b/>
                <w:color w:val="000000"/>
                <w:szCs w:val="21"/>
              </w:rPr>
              <w:t>排放去向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9" w:hRule="atLeast"/>
          <w:jc w:val="center"/>
        </w:trPr>
        <w:tc>
          <w:tcPr>
            <w:tcW w:w="814" w:type="dxa"/>
            <w:vMerge w:val="restart"/>
            <w:vAlign w:val="center"/>
          </w:tcPr>
          <w:p>
            <w:pPr>
              <w:snapToGrid w:val="0"/>
              <w:jc w:val="center"/>
              <w:rPr>
                <w:color w:val="000000"/>
                <w:szCs w:val="21"/>
              </w:rPr>
            </w:pPr>
            <w:r>
              <w:rPr>
                <w:color w:val="000000"/>
                <w:szCs w:val="21"/>
              </w:rPr>
              <w:t>废水污染物</w:t>
            </w:r>
          </w:p>
        </w:tc>
        <w:tc>
          <w:tcPr>
            <w:tcW w:w="976" w:type="dxa"/>
            <w:vMerge w:val="restart"/>
            <w:tcBorders>
              <w:top w:val="single" w:color="auto" w:sz="4" w:space="0"/>
            </w:tcBorders>
            <w:vAlign w:val="center"/>
          </w:tcPr>
          <w:p>
            <w:pPr>
              <w:snapToGrid w:val="0"/>
              <w:jc w:val="center"/>
              <w:rPr>
                <w:color w:val="000000"/>
                <w:szCs w:val="21"/>
              </w:rPr>
            </w:pPr>
            <w:r>
              <w:rPr>
                <w:color w:val="000000"/>
                <w:szCs w:val="21"/>
              </w:rPr>
              <w:t>生活废水</w:t>
            </w:r>
          </w:p>
        </w:tc>
        <w:tc>
          <w:tcPr>
            <w:tcW w:w="1155" w:type="dxa"/>
            <w:tcBorders>
              <w:top w:val="single" w:color="auto" w:sz="4" w:space="0"/>
            </w:tcBorders>
            <w:vAlign w:val="center"/>
          </w:tcPr>
          <w:p>
            <w:pPr>
              <w:widowControl/>
              <w:jc w:val="center"/>
              <w:rPr>
                <w:color w:val="000000"/>
                <w:kern w:val="0"/>
                <w:szCs w:val="21"/>
              </w:rPr>
            </w:pPr>
            <w:r>
              <w:rPr>
                <w:color w:val="000000"/>
                <w:kern w:val="0"/>
                <w:szCs w:val="21"/>
              </w:rPr>
              <w:t>COD</w:t>
            </w:r>
          </w:p>
        </w:tc>
        <w:tc>
          <w:tcPr>
            <w:tcW w:w="1050" w:type="dxa"/>
            <w:vMerge w:val="restart"/>
            <w:tcBorders>
              <w:top w:val="single" w:color="auto" w:sz="4" w:space="0"/>
            </w:tcBorders>
            <w:vAlign w:val="center"/>
          </w:tcPr>
          <w:p>
            <w:pPr>
              <w:spacing w:line="320" w:lineRule="exact"/>
              <w:jc w:val="center"/>
              <w:rPr>
                <w:szCs w:val="21"/>
              </w:rPr>
            </w:pPr>
            <w:r>
              <w:rPr>
                <w:rFonts w:hint="eastAsia"/>
                <w:szCs w:val="21"/>
              </w:rPr>
              <w:t>26816</w:t>
            </w:r>
          </w:p>
        </w:tc>
        <w:tc>
          <w:tcPr>
            <w:tcW w:w="1050" w:type="dxa"/>
            <w:tcBorders>
              <w:top w:val="single" w:color="auto" w:sz="4" w:space="0"/>
            </w:tcBorders>
            <w:vAlign w:val="center"/>
          </w:tcPr>
          <w:p>
            <w:pPr>
              <w:widowControl/>
              <w:jc w:val="center"/>
              <w:rPr>
                <w:color w:val="000000"/>
                <w:kern w:val="0"/>
                <w:szCs w:val="21"/>
              </w:rPr>
            </w:pPr>
            <w:r>
              <w:rPr>
                <w:color w:val="000000"/>
                <w:kern w:val="0"/>
                <w:szCs w:val="21"/>
              </w:rPr>
              <w:t>350</w:t>
            </w:r>
          </w:p>
        </w:tc>
        <w:tc>
          <w:tcPr>
            <w:tcW w:w="945" w:type="dxa"/>
            <w:tcBorders>
              <w:top w:val="single" w:color="auto" w:sz="4" w:space="0"/>
            </w:tcBorders>
            <w:vAlign w:val="center"/>
          </w:tcPr>
          <w:p>
            <w:pPr>
              <w:widowControl/>
              <w:jc w:val="center"/>
              <w:rPr>
                <w:color w:val="000000"/>
                <w:kern w:val="0"/>
                <w:szCs w:val="21"/>
              </w:rPr>
            </w:pPr>
            <w:r>
              <w:rPr>
                <w:rFonts w:hint="eastAsia"/>
                <w:color w:val="000000"/>
                <w:kern w:val="0"/>
                <w:szCs w:val="21"/>
              </w:rPr>
              <w:t>9.39</w:t>
            </w:r>
          </w:p>
        </w:tc>
        <w:tc>
          <w:tcPr>
            <w:tcW w:w="1050" w:type="dxa"/>
            <w:tcBorders>
              <w:top w:val="single" w:color="auto" w:sz="4" w:space="0"/>
            </w:tcBorders>
            <w:vAlign w:val="center"/>
          </w:tcPr>
          <w:p>
            <w:pPr>
              <w:widowControl/>
              <w:adjustRightInd w:val="0"/>
              <w:snapToGrid w:val="0"/>
              <w:jc w:val="center"/>
              <w:rPr>
                <w:color w:val="000000"/>
                <w:kern w:val="0"/>
                <w:szCs w:val="21"/>
              </w:rPr>
            </w:pPr>
            <w:r>
              <w:rPr>
                <w:color w:val="000000"/>
                <w:kern w:val="0"/>
                <w:szCs w:val="21"/>
              </w:rPr>
              <w:t>300</w:t>
            </w:r>
          </w:p>
        </w:tc>
        <w:tc>
          <w:tcPr>
            <w:tcW w:w="1077" w:type="dxa"/>
            <w:tcBorders>
              <w:top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8.04</w:t>
            </w:r>
          </w:p>
        </w:tc>
        <w:tc>
          <w:tcPr>
            <w:tcW w:w="828" w:type="dxa"/>
            <w:vMerge w:val="restart"/>
            <w:vAlign w:val="center"/>
          </w:tcPr>
          <w:p>
            <w:pPr>
              <w:snapToGrid w:val="0"/>
              <w:jc w:val="center"/>
              <w:rPr>
                <w:color w:val="000000"/>
                <w:szCs w:val="21"/>
              </w:rPr>
            </w:pPr>
            <w:r>
              <w:rPr>
                <w:rFonts w:hint="eastAsia"/>
                <w:color w:val="000000"/>
                <w:szCs w:val="21"/>
              </w:rPr>
              <w:t>城南</w:t>
            </w:r>
            <w:r>
              <w:rPr>
                <w:color w:val="000000"/>
                <w:szCs w:val="21"/>
              </w:rPr>
              <w:t>污水处理厂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9"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snapToGrid w:val="0"/>
              <w:jc w:val="center"/>
              <w:rPr>
                <w:color w:val="000000"/>
                <w:szCs w:val="21"/>
              </w:rPr>
            </w:pPr>
          </w:p>
        </w:tc>
        <w:tc>
          <w:tcPr>
            <w:tcW w:w="1155" w:type="dxa"/>
            <w:vAlign w:val="center"/>
          </w:tcPr>
          <w:p>
            <w:pPr>
              <w:widowControl/>
              <w:jc w:val="center"/>
              <w:rPr>
                <w:color w:val="000000"/>
                <w:kern w:val="0"/>
                <w:szCs w:val="21"/>
              </w:rPr>
            </w:pPr>
            <w:r>
              <w:rPr>
                <w:color w:val="000000"/>
                <w:kern w:val="0"/>
                <w:szCs w:val="21"/>
              </w:rPr>
              <w:t>SS</w:t>
            </w:r>
          </w:p>
        </w:tc>
        <w:tc>
          <w:tcPr>
            <w:tcW w:w="1050" w:type="dxa"/>
            <w:vMerge w:val="continue"/>
            <w:vAlign w:val="center"/>
          </w:tcPr>
          <w:p>
            <w:pPr>
              <w:spacing w:line="320" w:lineRule="exact"/>
              <w:jc w:val="center"/>
              <w:rPr>
                <w:szCs w:val="21"/>
              </w:rPr>
            </w:pPr>
          </w:p>
        </w:tc>
        <w:tc>
          <w:tcPr>
            <w:tcW w:w="1050" w:type="dxa"/>
            <w:vAlign w:val="center"/>
          </w:tcPr>
          <w:p>
            <w:pPr>
              <w:widowControl/>
              <w:jc w:val="center"/>
              <w:rPr>
                <w:color w:val="000000"/>
                <w:kern w:val="0"/>
                <w:szCs w:val="21"/>
              </w:rPr>
            </w:pPr>
            <w:r>
              <w:rPr>
                <w:color w:val="000000"/>
                <w:kern w:val="0"/>
                <w:szCs w:val="21"/>
              </w:rPr>
              <w:t>250</w:t>
            </w:r>
          </w:p>
        </w:tc>
        <w:tc>
          <w:tcPr>
            <w:tcW w:w="945" w:type="dxa"/>
            <w:vAlign w:val="center"/>
          </w:tcPr>
          <w:p>
            <w:pPr>
              <w:widowControl/>
              <w:jc w:val="center"/>
              <w:rPr>
                <w:color w:val="000000"/>
                <w:kern w:val="0"/>
                <w:szCs w:val="21"/>
              </w:rPr>
            </w:pPr>
            <w:r>
              <w:rPr>
                <w:rFonts w:hint="eastAsia"/>
                <w:color w:val="000000"/>
                <w:kern w:val="0"/>
                <w:szCs w:val="21"/>
              </w:rPr>
              <w:t>6.7</w:t>
            </w:r>
          </w:p>
        </w:tc>
        <w:tc>
          <w:tcPr>
            <w:tcW w:w="1050" w:type="dxa"/>
            <w:vAlign w:val="center"/>
          </w:tcPr>
          <w:p>
            <w:pPr>
              <w:widowControl/>
              <w:adjustRightInd w:val="0"/>
              <w:snapToGrid w:val="0"/>
              <w:jc w:val="center"/>
              <w:rPr>
                <w:color w:val="000000"/>
                <w:kern w:val="0"/>
                <w:szCs w:val="21"/>
              </w:rPr>
            </w:pPr>
            <w:r>
              <w:rPr>
                <w:color w:val="000000"/>
                <w:kern w:val="0"/>
                <w:szCs w:val="21"/>
              </w:rPr>
              <w:t>175</w:t>
            </w:r>
          </w:p>
        </w:tc>
        <w:tc>
          <w:tcPr>
            <w:tcW w:w="1077" w:type="dxa"/>
            <w:vAlign w:val="center"/>
          </w:tcPr>
          <w:p>
            <w:pPr>
              <w:widowControl/>
              <w:adjustRightInd w:val="0"/>
              <w:snapToGrid w:val="0"/>
              <w:jc w:val="center"/>
              <w:rPr>
                <w:color w:val="000000"/>
                <w:kern w:val="0"/>
                <w:szCs w:val="21"/>
              </w:rPr>
            </w:pPr>
            <w:r>
              <w:rPr>
                <w:rFonts w:hint="eastAsia"/>
                <w:color w:val="000000"/>
                <w:kern w:val="0"/>
                <w:szCs w:val="21"/>
              </w:rPr>
              <w:t>4.69</w:t>
            </w:r>
          </w:p>
        </w:tc>
        <w:tc>
          <w:tcPr>
            <w:tcW w:w="828" w:type="dxa"/>
            <w:vMerge w:val="continue"/>
            <w:vAlign w:val="center"/>
          </w:tcPr>
          <w:p>
            <w:pPr>
              <w:snapToGrid w:val="0"/>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9"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snapToGrid w:val="0"/>
              <w:jc w:val="center"/>
              <w:rPr>
                <w:color w:val="000000"/>
                <w:szCs w:val="21"/>
              </w:rPr>
            </w:pPr>
          </w:p>
        </w:tc>
        <w:tc>
          <w:tcPr>
            <w:tcW w:w="1155" w:type="dxa"/>
            <w:vAlign w:val="center"/>
          </w:tcPr>
          <w:p>
            <w:pPr>
              <w:widowControl/>
              <w:jc w:val="center"/>
              <w:rPr>
                <w:color w:val="000000"/>
                <w:kern w:val="0"/>
                <w:szCs w:val="21"/>
              </w:rPr>
            </w:pPr>
            <w:r>
              <w:rPr>
                <w:color w:val="000000"/>
                <w:kern w:val="0"/>
                <w:szCs w:val="21"/>
              </w:rPr>
              <w:t>NH</w:t>
            </w:r>
            <w:r>
              <w:rPr>
                <w:color w:val="000000"/>
                <w:kern w:val="0"/>
                <w:szCs w:val="21"/>
                <w:vertAlign w:val="subscript"/>
              </w:rPr>
              <w:t>3</w:t>
            </w:r>
            <w:r>
              <w:rPr>
                <w:color w:val="000000"/>
                <w:kern w:val="0"/>
                <w:szCs w:val="21"/>
              </w:rPr>
              <w:t>-N</w:t>
            </w:r>
          </w:p>
        </w:tc>
        <w:tc>
          <w:tcPr>
            <w:tcW w:w="1050" w:type="dxa"/>
            <w:vMerge w:val="continue"/>
            <w:vAlign w:val="center"/>
          </w:tcPr>
          <w:p>
            <w:pPr>
              <w:spacing w:line="320" w:lineRule="exact"/>
              <w:jc w:val="center"/>
              <w:rPr>
                <w:szCs w:val="21"/>
              </w:rPr>
            </w:pPr>
          </w:p>
        </w:tc>
        <w:tc>
          <w:tcPr>
            <w:tcW w:w="1050" w:type="dxa"/>
            <w:vAlign w:val="center"/>
          </w:tcPr>
          <w:p>
            <w:pPr>
              <w:widowControl/>
              <w:jc w:val="center"/>
              <w:rPr>
                <w:color w:val="000000"/>
                <w:kern w:val="0"/>
                <w:szCs w:val="21"/>
              </w:rPr>
            </w:pPr>
            <w:r>
              <w:rPr>
                <w:color w:val="000000"/>
                <w:kern w:val="0"/>
                <w:szCs w:val="21"/>
              </w:rPr>
              <w:t>30</w:t>
            </w:r>
          </w:p>
        </w:tc>
        <w:tc>
          <w:tcPr>
            <w:tcW w:w="945" w:type="dxa"/>
            <w:vAlign w:val="center"/>
          </w:tcPr>
          <w:p>
            <w:pPr>
              <w:widowControl/>
              <w:jc w:val="center"/>
              <w:rPr>
                <w:color w:val="000000"/>
                <w:kern w:val="0"/>
                <w:szCs w:val="21"/>
              </w:rPr>
            </w:pPr>
            <w:r>
              <w:rPr>
                <w:rFonts w:hint="eastAsia"/>
                <w:color w:val="000000"/>
                <w:kern w:val="0"/>
                <w:szCs w:val="21"/>
              </w:rPr>
              <w:t>0.80</w:t>
            </w:r>
          </w:p>
        </w:tc>
        <w:tc>
          <w:tcPr>
            <w:tcW w:w="1050" w:type="dxa"/>
            <w:vAlign w:val="center"/>
          </w:tcPr>
          <w:p>
            <w:pPr>
              <w:widowControl/>
              <w:adjustRightInd w:val="0"/>
              <w:snapToGrid w:val="0"/>
              <w:jc w:val="center"/>
              <w:rPr>
                <w:color w:val="000000"/>
                <w:kern w:val="0"/>
                <w:szCs w:val="21"/>
              </w:rPr>
            </w:pPr>
            <w:r>
              <w:rPr>
                <w:rFonts w:hint="eastAsia"/>
                <w:color w:val="000000"/>
                <w:kern w:val="0"/>
                <w:szCs w:val="21"/>
              </w:rPr>
              <w:t>28</w:t>
            </w:r>
          </w:p>
        </w:tc>
        <w:tc>
          <w:tcPr>
            <w:tcW w:w="1077" w:type="dxa"/>
            <w:vAlign w:val="center"/>
          </w:tcPr>
          <w:p>
            <w:pPr>
              <w:widowControl/>
              <w:adjustRightInd w:val="0"/>
              <w:snapToGrid w:val="0"/>
              <w:jc w:val="center"/>
              <w:rPr>
                <w:color w:val="000000"/>
                <w:kern w:val="0"/>
                <w:szCs w:val="21"/>
              </w:rPr>
            </w:pPr>
            <w:r>
              <w:rPr>
                <w:rFonts w:hint="eastAsia"/>
                <w:color w:val="000000"/>
                <w:kern w:val="0"/>
                <w:szCs w:val="21"/>
              </w:rPr>
              <w:t>0.75</w:t>
            </w:r>
          </w:p>
        </w:tc>
        <w:tc>
          <w:tcPr>
            <w:tcW w:w="828" w:type="dxa"/>
            <w:vMerge w:val="continue"/>
            <w:vAlign w:val="center"/>
          </w:tcPr>
          <w:p>
            <w:pPr>
              <w:snapToGrid w:val="0"/>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5"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snapToGrid w:val="0"/>
              <w:jc w:val="center"/>
              <w:rPr>
                <w:color w:val="000000"/>
                <w:szCs w:val="21"/>
              </w:rPr>
            </w:pPr>
          </w:p>
        </w:tc>
        <w:tc>
          <w:tcPr>
            <w:tcW w:w="1155" w:type="dxa"/>
            <w:vAlign w:val="center"/>
          </w:tcPr>
          <w:p>
            <w:pPr>
              <w:widowControl/>
              <w:jc w:val="center"/>
              <w:rPr>
                <w:color w:val="000000"/>
                <w:kern w:val="0"/>
                <w:szCs w:val="21"/>
              </w:rPr>
            </w:pPr>
            <w:r>
              <w:rPr>
                <w:color w:val="000000"/>
                <w:kern w:val="0"/>
                <w:szCs w:val="21"/>
              </w:rPr>
              <w:t>TP</w:t>
            </w:r>
          </w:p>
        </w:tc>
        <w:tc>
          <w:tcPr>
            <w:tcW w:w="1050" w:type="dxa"/>
            <w:vMerge w:val="continue"/>
            <w:vAlign w:val="center"/>
          </w:tcPr>
          <w:p>
            <w:pPr>
              <w:spacing w:line="320" w:lineRule="exact"/>
              <w:jc w:val="center"/>
              <w:rPr>
                <w:szCs w:val="21"/>
              </w:rPr>
            </w:pPr>
          </w:p>
        </w:tc>
        <w:tc>
          <w:tcPr>
            <w:tcW w:w="1050" w:type="dxa"/>
            <w:vAlign w:val="center"/>
          </w:tcPr>
          <w:p>
            <w:pPr>
              <w:widowControl/>
              <w:jc w:val="center"/>
              <w:rPr>
                <w:color w:val="000000"/>
                <w:kern w:val="0"/>
                <w:szCs w:val="21"/>
              </w:rPr>
            </w:pPr>
            <w:r>
              <w:rPr>
                <w:rFonts w:hint="eastAsia"/>
                <w:color w:val="000000"/>
                <w:kern w:val="0"/>
                <w:szCs w:val="21"/>
              </w:rPr>
              <w:t>5</w:t>
            </w:r>
          </w:p>
        </w:tc>
        <w:tc>
          <w:tcPr>
            <w:tcW w:w="945" w:type="dxa"/>
            <w:vAlign w:val="center"/>
          </w:tcPr>
          <w:p>
            <w:pPr>
              <w:widowControl/>
              <w:jc w:val="center"/>
              <w:rPr>
                <w:color w:val="000000"/>
                <w:kern w:val="0"/>
                <w:szCs w:val="21"/>
              </w:rPr>
            </w:pPr>
            <w:r>
              <w:rPr>
                <w:rFonts w:hint="eastAsia"/>
                <w:color w:val="000000"/>
                <w:kern w:val="0"/>
                <w:szCs w:val="21"/>
              </w:rPr>
              <w:t>0.13</w:t>
            </w:r>
          </w:p>
        </w:tc>
        <w:tc>
          <w:tcPr>
            <w:tcW w:w="1050" w:type="dxa"/>
            <w:vAlign w:val="center"/>
          </w:tcPr>
          <w:p>
            <w:pPr>
              <w:widowControl/>
              <w:adjustRightInd w:val="0"/>
              <w:snapToGrid w:val="0"/>
              <w:jc w:val="center"/>
              <w:rPr>
                <w:color w:val="000000"/>
                <w:kern w:val="0"/>
                <w:szCs w:val="21"/>
              </w:rPr>
            </w:pPr>
            <w:r>
              <w:rPr>
                <w:color w:val="000000"/>
                <w:kern w:val="0"/>
                <w:szCs w:val="21"/>
              </w:rPr>
              <w:t>3.5</w:t>
            </w:r>
          </w:p>
        </w:tc>
        <w:tc>
          <w:tcPr>
            <w:tcW w:w="1077" w:type="dxa"/>
            <w:vAlign w:val="center"/>
          </w:tcPr>
          <w:p>
            <w:pPr>
              <w:widowControl/>
              <w:adjustRightInd w:val="0"/>
              <w:snapToGrid w:val="0"/>
              <w:jc w:val="center"/>
              <w:rPr>
                <w:color w:val="000000"/>
                <w:kern w:val="0"/>
                <w:szCs w:val="21"/>
              </w:rPr>
            </w:pPr>
            <w:r>
              <w:rPr>
                <w:rFonts w:hint="eastAsia"/>
                <w:color w:val="000000"/>
                <w:kern w:val="0"/>
                <w:szCs w:val="21"/>
              </w:rPr>
              <w:t>0.09</w:t>
            </w:r>
          </w:p>
        </w:tc>
        <w:tc>
          <w:tcPr>
            <w:tcW w:w="828" w:type="dxa"/>
            <w:vMerge w:val="continue"/>
            <w:vAlign w:val="center"/>
          </w:tcPr>
          <w:p>
            <w:pPr>
              <w:snapToGrid w:val="0"/>
              <w:jc w:val="center"/>
              <w:rPr>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814" w:type="dxa"/>
            <w:vMerge w:val="restart"/>
            <w:vAlign w:val="center"/>
          </w:tcPr>
          <w:p>
            <w:pPr>
              <w:snapToGrid w:val="0"/>
              <w:jc w:val="center"/>
              <w:rPr>
                <w:color w:val="000000"/>
                <w:szCs w:val="21"/>
              </w:rPr>
            </w:pPr>
            <w:r>
              <w:rPr>
                <w:color w:val="000000"/>
                <w:szCs w:val="21"/>
              </w:rPr>
              <w:t>固体废物</w:t>
            </w:r>
          </w:p>
        </w:tc>
        <w:tc>
          <w:tcPr>
            <w:tcW w:w="976" w:type="dxa"/>
            <w:vAlign w:val="center"/>
          </w:tcPr>
          <w:p>
            <w:pPr>
              <w:snapToGrid w:val="0"/>
              <w:jc w:val="center"/>
              <w:rPr>
                <w:b/>
                <w:color w:val="000000"/>
                <w:szCs w:val="21"/>
              </w:rPr>
            </w:pPr>
            <w:r>
              <w:rPr>
                <w:b/>
                <w:color w:val="000000"/>
                <w:szCs w:val="21"/>
              </w:rPr>
              <w:t>排放源</w:t>
            </w:r>
          </w:p>
        </w:tc>
        <w:tc>
          <w:tcPr>
            <w:tcW w:w="1155" w:type="dxa"/>
            <w:tcBorders>
              <w:bottom w:val="single" w:color="auto" w:sz="4" w:space="0"/>
            </w:tcBorders>
            <w:vAlign w:val="center"/>
          </w:tcPr>
          <w:p>
            <w:pPr>
              <w:snapToGrid w:val="0"/>
              <w:jc w:val="center"/>
              <w:rPr>
                <w:b/>
                <w:color w:val="000000"/>
                <w:szCs w:val="21"/>
              </w:rPr>
            </w:pPr>
            <w:r>
              <w:rPr>
                <w:b/>
                <w:color w:val="000000"/>
                <w:szCs w:val="21"/>
              </w:rPr>
              <w:t>污染物</w:t>
            </w:r>
          </w:p>
          <w:p>
            <w:pPr>
              <w:snapToGrid w:val="0"/>
              <w:jc w:val="center"/>
              <w:rPr>
                <w:b/>
                <w:color w:val="000000"/>
                <w:szCs w:val="21"/>
              </w:rPr>
            </w:pPr>
            <w:r>
              <w:rPr>
                <w:b/>
                <w:color w:val="000000"/>
                <w:szCs w:val="21"/>
              </w:rPr>
              <w:t>名称</w:t>
            </w:r>
          </w:p>
        </w:tc>
        <w:tc>
          <w:tcPr>
            <w:tcW w:w="1050" w:type="dxa"/>
            <w:tcBorders>
              <w:bottom w:val="single" w:color="auto" w:sz="4" w:space="0"/>
              <w:right w:val="single" w:color="auto" w:sz="4" w:space="0"/>
            </w:tcBorders>
            <w:vAlign w:val="center"/>
          </w:tcPr>
          <w:p>
            <w:pPr>
              <w:snapToGrid w:val="0"/>
              <w:jc w:val="center"/>
              <w:rPr>
                <w:b/>
                <w:color w:val="000000"/>
                <w:szCs w:val="21"/>
              </w:rPr>
            </w:pPr>
            <w:r>
              <w:rPr>
                <w:b/>
                <w:color w:val="000000"/>
                <w:szCs w:val="21"/>
              </w:rPr>
              <w:t>产生量t/a</w:t>
            </w:r>
          </w:p>
        </w:tc>
        <w:tc>
          <w:tcPr>
            <w:tcW w:w="1050" w:type="dxa"/>
            <w:tcBorders>
              <w:left w:val="single" w:color="auto" w:sz="4" w:space="0"/>
              <w:bottom w:val="single" w:color="auto" w:sz="4" w:space="0"/>
            </w:tcBorders>
            <w:vAlign w:val="center"/>
          </w:tcPr>
          <w:p>
            <w:pPr>
              <w:snapToGrid w:val="0"/>
              <w:jc w:val="center"/>
              <w:rPr>
                <w:b/>
                <w:color w:val="000000"/>
                <w:szCs w:val="21"/>
              </w:rPr>
            </w:pPr>
            <w:r>
              <w:rPr>
                <w:b/>
                <w:color w:val="000000"/>
                <w:szCs w:val="21"/>
              </w:rPr>
              <w:t>处理处置量t/a</w:t>
            </w:r>
          </w:p>
        </w:tc>
        <w:tc>
          <w:tcPr>
            <w:tcW w:w="945" w:type="dxa"/>
            <w:tcBorders>
              <w:bottom w:val="single" w:color="auto" w:sz="4" w:space="0"/>
            </w:tcBorders>
            <w:vAlign w:val="center"/>
          </w:tcPr>
          <w:p>
            <w:pPr>
              <w:snapToGrid w:val="0"/>
              <w:jc w:val="center"/>
              <w:rPr>
                <w:b/>
                <w:color w:val="000000"/>
                <w:szCs w:val="21"/>
              </w:rPr>
            </w:pPr>
            <w:r>
              <w:rPr>
                <w:b/>
                <w:color w:val="000000"/>
                <w:szCs w:val="21"/>
              </w:rPr>
              <w:t>综合利用量t/a</w:t>
            </w:r>
          </w:p>
        </w:tc>
        <w:tc>
          <w:tcPr>
            <w:tcW w:w="1050" w:type="dxa"/>
            <w:tcBorders>
              <w:bottom w:val="single" w:color="auto" w:sz="4" w:space="0"/>
            </w:tcBorders>
            <w:vAlign w:val="center"/>
          </w:tcPr>
          <w:p>
            <w:pPr>
              <w:snapToGrid w:val="0"/>
              <w:jc w:val="center"/>
              <w:rPr>
                <w:b/>
                <w:color w:val="000000"/>
                <w:szCs w:val="21"/>
              </w:rPr>
            </w:pPr>
            <w:r>
              <w:rPr>
                <w:b/>
                <w:color w:val="000000"/>
                <w:szCs w:val="21"/>
              </w:rPr>
              <w:t>外排量t/a</w:t>
            </w:r>
          </w:p>
        </w:tc>
        <w:tc>
          <w:tcPr>
            <w:tcW w:w="1905" w:type="dxa"/>
            <w:gridSpan w:val="2"/>
            <w:tcBorders>
              <w:bottom w:val="single" w:color="auto" w:sz="4" w:space="0"/>
            </w:tcBorders>
            <w:vAlign w:val="center"/>
          </w:tcPr>
          <w:p>
            <w:pPr>
              <w:snapToGrid w:val="0"/>
              <w:jc w:val="center"/>
              <w:rPr>
                <w:b/>
                <w:color w:val="000000"/>
                <w:szCs w:val="21"/>
              </w:rPr>
            </w:pPr>
            <w:r>
              <w:rPr>
                <w:b/>
                <w:color w:val="000000"/>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03" w:hRule="atLeast"/>
          <w:jc w:val="center"/>
        </w:trPr>
        <w:tc>
          <w:tcPr>
            <w:tcW w:w="814" w:type="dxa"/>
            <w:vMerge w:val="continue"/>
            <w:vAlign w:val="center"/>
          </w:tcPr>
          <w:p>
            <w:pPr>
              <w:snapToGrid w:val="0"/>
              <w:jc w:val="center"/>
              <w:rPr>
                <w:color w:val="000000"/>
                <w:szCs w:val="21"/>
              </w:rPr>
            </w:pPr>
          </w:p>
        </w:tc>
        <w:tc>
          <w:tcPr>
            <w:tcW w:w="976" w:type="dxa"/>
            <w:vMerge w:val="restart"/>
            <w:vAlign w:val="center"/>
          </w:tcPr>
          <w:p>
            <w:pPr>
              <w:snapToGrid w:val="0"/>
              <w:spacing w:line="320" w:lineRule="exact"/>
              <w:jc w:val="center"/>
              <w:rPr>
                <w:color w:val="000000"/>
                <w:szCs w:val="21"/>
              </w:rPr>
            </w:pPr>
            <w:r>
              <w:rPr>
                <w:rFonts w:hint="eastAsia"/>
                <w:color w:val="000000"/>
                <w:szCs w:val="21"/>
              </w:rPr>
              <w:t>生活、研发办公</w:t>
            </w:r>
          </w:p>
        </w:tc>
        <w:tc>
          <w:tcPr>
            <w:tcW w:w="1155" w:type="dxa"/>
            <w:vAlign w:val="center"/>
          </w:tcPr>
          <w:p>
            <w:pPr>
              <w:spacing w:line="320" w:lineRule="exact"/>
              <w:jc w:val="center"/>
              <w:rPr>
                <w:color w:val="000000"/>
                <w:szCs w:val="21"/>
              </w:rPr>
            </w:pPr>
            <w:r>
              <w:rPr>
                <w:color w:val="000000"/>
                <w:szCs w:val="21"/>
              </w:rPr>
              <w:t>生活垃圾</w:t>
            </w:r>
          </w:p>
        </w:tc>
        <w:tc>
          <w:tcPr>
            <w:tcW w:w="1050" w:type="dxa"/>
            <w:tcBorders>
              <w:right w:val="single" w:color="auto" w:sz="4" w:space="0"/>
            </w:tcBorders>
            <w:vAlign w:val="center"/>
          </w:tcPr>
          <w:p>
            <w:pPr>
              <w:spacing w:line="320" w:lineRule="exact"/>
              <w:jc w:val="center"/>
              <w:rPr>
                <w:color w:val="000000"/>
                <w:szCs w:val="21"/>
              </w:rPr>
            </w:pPr>
            <w:r>
              <w:rPr>
                <w:rFonts w:hint="eastAsia"/>
                <w:color w:val="000000"/>
                <w:szCs w:val="21"/>
              </w:rPr>
              <w:t>125.7</w:t>
            </w:r>
          </w:p>
        </w:tc>
        <w:tc>
          <w:tcPr>
            <w:tcW w:w="1050" w:type="dxa"/>
            <w:tcBorders>
              <w:left w:val="single" w:color="auto" w:sz="4" w:space="0"/>
            </w:tcBorders>
            <w:vAlign w:val="center"/>
          </w:tcPr>
          <w:p>
            <w:pPr>
              <w:spacing w:line="320" w:lineRule="exact"/>
              <w:jc w:val="center"/>
              <w:rPr>
                <w:color w:val="000000"/>
                <w:szCs w:val="21"/>
              </w:rPr>
            </w:pPr>
            <w:r>
              <w:rPr>
                <w:rFonts w:hint="eastAsia"/>
                <w:color w:val="000000"/>
                <w:szCs w:val="21"/>
              </w:rPr>
              <w:t>125.7</w:t>
            </w:r>
          </w:p>
        </w:tc>
        <w:tc>
          <w:tcPr>
            <w:tcW w:w="945" w:type="dxa"/>
            <w:vAlign w:val="center"/>
          </w:tcPr>
          <w:p>
            <w:pPr>
              <w:spacing w:line="320" w:lineRule="exact"/>
              <w:jc w:val="center"/>
              <w:rPr>
                <w:color w:val="000000"/>
                <w:szCs w:val="21"/>
              </w:rPr>
            </w:pPr>
            <w:r>
              <w:rPr>
                <w:color w:val="000000"/>
                <w:szCs w:val="21"/>
              </w:rPr>
              <w:t>0</w:t>
            </w:r>
          </w:p>
        </w:tc>
        <w:tc>
          <w:tcPr>
            <w:tcW w:w="1050" w:type="dxa"/>
            <w:vAlign w:val="center"/>
          </w:tcPr>
          <w:p>
            <w:pPr>
              <w:spacing w:line="320" w:lineRule="exact"/>
              <w:jc w:val="center"/>
              <w:rPr>
                <w:color w:val="000000"/>
                <w:szCs w:val="21"/>
              </w:rPr>
            </w:pPr>
            <w:r>
              <w:rPr>
                <w:color w:val="000000"/>
                <w:szCs w:val="21"/>
              </w:rPr>
              <w:t>0</w:t>
            </w:r>
          </w:p>
        </w:tc>
        <w:tc>
          <w:tcPr>
            <w:tcW w:w="1905" w:type="dxa"/>
            <w:gridSpan w:val="2"/>
            <w:vAlign w:val="center"/>
          </w:tcPr>
          <w:p>
            <w:pPr>
              <w:snapToGrid w:val="0"/>
              <w:spacing w:line="320" w:lineRule="exact"/>
              <w:jc w:val="center"/>
              <w:rPr>
                <w:color w:val="000000"/>
                <w:szCs w:val="21"/>
              </w:rPr>
            </w:pPr>
            <w:r>
              <w:rPr>
                <w:color w:val="000000"/>
                <w:szCs w:val="21"/>
              </w:rPr>
              <w:t>环卫处理处置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03"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snapToGrid w:val="0"/>
              <w:spacing w:line="320" w:lineRule="exact"/>
              <w:jc w:val="center"/>
              <w:rPr>
                <w:rFonts w:hint="eastAsia"/>
                <w:color w:val="000000"/>
                <w:szCs w:val="21"/>
              </w:rPr>
            </w:pPr>
          </w:p>
        </w:tc>
        <w:tc>
          <w:tcPr>
            <w:tcW w:w="1155" w:type="dxa"/>
            <w:vAlign w:val="center"/>
          </w:tcPr>
          <w:p>
            <w:pPr>
              <w:spacing w:line="320" w:lineRule="exact"/>
              <w:jc w:val="center"/>
              <w:rPr>
                <w:color w:val="000000"/>
                <w:szCs w:val="21"/>
              </w:rPr>
            </w:pPr>
            <w:r>
              <w:rPr>
                <w:rFonts w:hint="eastAsia"/>
                <w:color w:val="000000"/>
                <w:szCs w:val="21"/>
              </w:rPr>
              <w:t>办公垃圾</w:t>
            </w:r>
          </w:p>
        </w:tc>
        <w:tc>
          <w:tcPr>
            <w:tcW w:w="1050" w:type="dxa"/>
            <w:tcBorders>
              <w:right w:val="single" w:color="auto" w:sz="4" w:space="0"/>
            </w:tcBorders>
            <w:vAlign w:val="center"/>
          </w:tcPr>
          <w:p>
            <w:pPr>
              <w:spacing w:line="320" w:lineRule="exact"/>
              <w:jc w:val="center"/>
              <w:rPr>
                <w:rFonts w:hint="eastAsia"/>
                <w:color w:val="000000"/>
                <w:szCs w:val="21"/>
              </w:rPr>
            </w:pPr>
            <w:r>
              <w:rPr>
                <w:rFonts w:hint="eastAsia"/>
                <w:color w:val="000000"/>
                <w:szCs w:val="21"/>
              </w:rPr>
              <w:t>0.15</w:t>
            </w:r>
          </w:p>
        </w:tc>
        <w:tc>
          <w:tcPr>
            <w:tcW w:w="1050" w:type="dxa"/>
            <w:tcBorders>
              <w:left w:val="single" w:color="auto" w:sz="4" w:space="0"/>
            </w:tcBorders>
            <w:vAlign w:val="center"/>
          </w:tcPr>
          <w:p>
            <w:pPr>
              <w:spacing w:line="320" w:lineRule="exact"/>
              <w:jc w:val="center"/>
              <w:rPr>
                <w:rFonts w:hint="eastAsia"/>
                <w:color w:val="000000"/>
                <w:szCs w:val="21"/>
              </w:rPr>
            </w:pPr>
            <w:r>
              <w:rPr>
                <w:rFonts w:hint="eastAsia"/>
                <w:color w:val="000000"/>
                <w:szCs w:val="21"/>
              </w:rPr>
              <w:t>0.15</w:t>
            </w:r>
          </w:p>
        </w:tc>
        <w:tc>
          <w:tcPr>
            <w:tcW w:w="945" w:type="dxa"/>
            <w:vAlign w:val="center"/>
          </w:tcPr>
          <w:p>
            <w:pPr>
              <w:spacing w:line="320" w:lineRule="exact"/>
              <w:jc w:val="center"/>
              <w:rPr>
                <w:color w:val="000000"/>
                <w:szCs w:val="21"/>
              </w:rPr>
            </w:pPr>
            <w:r>
              <w:rPr>
                <w:rFonts w:hint="eastAsia"/>
                <w:color w:val="000000"/>
                <w:szCs w:val="21"/>
              </w:rPr>
              <w:t>0</w:t>
            </w:r>
          </w:p>
        </w:tc>
        <w:tc>
          <w:tcPr>
            <w:tcW w:w="1050" w:type="dxa"/>
            <w:vAlign w:val="center"/>
          </w:tcPr>
          <w:p>
            <w:pPr>
              <w:spacing w:line="320" w:lineRule="exact"/>
              <w:jc w:val="center"/>
              <w:rPr>
                <w:color w:val="000000"/>
                <w:szCs w:val="21"/>
              </w:rPr>
            </w:pPr>
            <w:r>
              <w:rPr>
                <w:rFonts w:hint="eastAsia"/>
                <w:color w:val="000000"/>
                <w:szCs w:val="21"/>
              </w:rPr>
              <w:t>0</w:t>
            </w:r>
          </w:p>
        </w:tc>
        <w:tc>
          <w:tcPr>
            <w:tcW w:w="1905" w:type="dxa"/>
            <w:gridSpan w:val="2"/>
            <w:vAlign w:val="center"/>
          </w:tcPr>
          <w:p>
            <w:pPr>
              <w:snapToGrid w:val="0"/>
              <w:spacing w:line="320" w:lineRule="exact"/>
              <w:jc w:val="center"/>
              <w:rPr>
                <w:color w:val="000000"/>
                <w:szCs w:val="21"/>
              </w:rPr>
            </w:pPr>
            <w:r>
              <w:rPr>
                <w:rFonts w:hint="eastAsia"/>
                <w:color w:val="000000"/>
                <w:szCs w:val="21"/>
              </w:rPr>
              <w:t>回收利用单位回收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87" w:hRule="atLeast"/>
          <w:jc w:val="center"/>
        </w:trPr>
        <w:tc>
          <w:tcPr>
            <w:tcW w:w="814" w:type="dxa"/>
            <w:vMerge w:val="continue"/>
            <w:vAlign w:val="center"/>
          </w:tcPr>
          <w:p>
            <w:pPr>
              <w:snapToGrid w:val="0"/>
              <w:jc w:val="center"/>
              <w:rPr>
                <w:color w:val="000000"/>
                <w:szCs w:val="21"/>
              </w:rPr>
            </w:pPr>
          </w:p>
        </w:tc>
        <w:tc>
          <w:tcPr>
            <w:tcW w:w="976" w:type="dxa"/>
            <w:vMerge w:val="continue"/>
            <w:vAlign w:val="center"/>
          </w:tcPr>
          <w:p>
            <w:pPr>
              <w:snapToGrid w:val="0"/>
              <w:spacing w:line="320" w:lineRule="exact"/>
              <w:jc w:val="center"/>
              <w:rPr>
                <w:color w:val="000000"/>
                <w:szCs w:val="21"/>
              </w:rPr>
            </w:pPr>
          </w:p>
        </w:tc>
        <w:tc>
          <w:tcPr>
            <w:tcW w:w="1155" w:type="dxa"/>
            <w:vAlign w:val="center"/>
          </w:tcPr>
          <w:p>
            <w:pPr>
              <w:spacing w:line="320" w:lineRule="exact"/>
              <w:jc w:val="center"/>
              <w:rPr>
                <w:color w:val="000000"/>
                <w:spacing w:val="-10"/>
                <w:szCs w:val="21"/>
              </w:rPr>
            </w:pPr>
            <w:r>
              <w:rPr>
                <w:rFonts w:hint="eastAsia"/>
                <w:color w:val="000000"/>
                <w:spacing w:val="-10"/>
                <w:szCs w:val="21"/>
              </w:rPr>
              <w:t>废包装</w:t>
            </w:r>
          </w:p>
        </w:tc>
        <w:tc>
          <w:tcPr>
            <w:tcW w:w="1050" w:type="dxa"/>
            <w:tcBorders>
              <w:right w:val="single" w:color="auto" w:sz="4" w:space="0"/>
            </w:tcBorders>
            <w:vAlign w:val="center"/>
          </w:tcPr>
          <w:p>
            <w:pPr>
              <w:spacing w:line="320" w:lineRule="exact"/>
              <w:jc w:val="center"/>
              <w:rPr>
                <w:color w:val="000000"/>
                <w:szCs w:val="21"/>
              </w:rPr>
            </w:pPr>
            <w:r>
              <w:rPr>
                <w:rFonts w:hint="eastAsia"/>
                <w:sz w:val="20"/>
                <w:szCs w:val="21"/>
              </w:rPr>
              <w:t>5.8</w:t>
            </w:r>
          </w:p>
        </w:tc>
        <w:tc>
          <w:tcPr>
            <w:tcW w:w="1050" w:type="dxa"/>
            <w:tcBorders>
              <w:left w:val="single" w:color="auto" w:sz="4" w:space="0"/>
            </w:tcBorders>
            <w:vAlign w:val="center"/>
          </w:tcPr>
          <w:p>
            <w:pPr>
              <w:spacing w:line="320" w:lineRule="exact"/>
              <w:jc w:val="center"/>
              <w:rPr>
                <w:color w:val="000000"/>
                <w:szCs w:val="21"/>
              </w:rPr>
            </w:pPr>
            <w:r>
              <w:rPr>
                <w:rFonts w:hint="eastAsia"/>
                <w:sz w:val="20"/>
                <w:szCs w:val="21"/>
              </w:rPr>
              <w:t>5.8</w:t>
            </w:r>
          </w:p>
        </w:tc>
        <w:tc>
          <w:tcPr>
            <w:tcW w:w="945" w:type="dxa"/>
            <w:vAlign w:val="center"/>
          </w:tcPr>
          <w:p>
            <w:pPr>
              <w:spacing w:line="320" w:lineRule="exact"/>
              <w:jc w:val="center"/>
              <w:rPr>
                <w:color w:val="000000"/>
                <w:szCs w:val="21"/>
              </w:rPr>
            </w:pPr>
            <w:r>
              <w:rPr>
                <w:color w:val="000000"/>
                <w:szCs w:val="21"/>
              </w:rPr>
              <w:t>0</w:t>
            </w:r>
          </w:p>
        </w:tc>
        <w:tc>
          <w:tcPr>
            <w:tcW w:w="1050" w:type="dxa"/>
            <w:vAlign w:val="center"/>
          </w:tcPr>
          <w:p>
            <w:pPr>
              <w:spacing w:line="320" w:lineRule="exact"/>
              <w:jc w:val="center"/>
              <w:rPr>
                <w:color w:val="000000"/>
                <w:szCs w:val="21"/>
              </w:rPr>
            </w:pPr>
            <w:r>
              <w:rPr>
                <w:color w:val="000000"/>
                <w:szCs w:val="21"/>
              </w:rPr>
              <w:t>0</w:t>
            </w:r>
          </w:p>
        </w:tc>
        <w:tc>
          <w:tcPr>
            <w:tcW w:w="1905" w:type="dxa"/>
            <w:gridSpan w:val="2"/>
            <w:vAlign w:val="center"/>
          </w:tcPr>
          <w:p>
            <w:pPr>
              <w:snapToGrid w:val="0"/>
              <w:spacing w:line="320" w:lineRule="exact"/>
              <w:jc w:val="center"/>
              <w:rPr>
                <w:color w:val="000000"/>
                <w:szCs w:val="21"/>
              </w:rPr>
            </w:pPr>
            <w:r>
              <w:rPr>
                <w:rFonts w:hint="eastAsia"/>
                <w:color w:val="000000"/>
                <w:szCs w:val="21"/>
              </w:rPr>
              <w:t>回收利用单位回收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87" w:hRule="atLeast"/>
          <w:jc w:val="center"/>
        </w:trPr>
        <w:tc>
          <w:tcPr>
            <w:tcW w:w="814" w:type="dxa"/>
            <w:vMerge w:val="continue"/>
            <w:vAlign w:val="center"/>
          </w:tcPr>
          <w:p>
            <w:pPr>
              <w:snapToGrid w:val="0"/>
              <w:jc w:val="center"/>
              <w:rPr>
                <w:color w:val="000000"/>
                <w:szCs w:val="21"/>
              </w:rPr>
            </w:pPr>
          </w:p>
        </w:tc>
        <w:tc>
          <w:tcPr>
            <w:tcW w:w="976" w:type="dxa"/>
            <w:vAlign w:val="center"/>
          </w:tcPr>
          <w:p>
            <w:pPr>
              <w:snapToGrid w:val="0"/>
              <w:spacing w:line="320" w:lineRule="exact"/>
              <w:jc w:val="center"/>
              <w:rPr>
                <w:color w:val="000000"/>
                <w:szCs w:val="21"/>
              </w:rPr>
            </w:pPr>
            <w:r>
              <w:rPr>
                <w:rFonts w:hint="eastAsia"/>
                <w:color w:val="000000"/>
                <w:szCs w:val="21"/>
              </w:rPr>
              <w:t>机修</w:t>
            </w:r>
          </w:p>
        </w:tc>
        <w:tc>
          <w:tcPr>
            <w:tcW w:w="1155" w:type="dxa"/>
            <w:vAlign w:val="center"/>
          </w:tcPr>
          <w:p>
            <w:pPr>
              <w:spacing w:line="320" w:lineRule="exact"/>
              <w:jc w:val="center"/>
              <w:rPr>
                <w:rFonts w:hint="eastAsia"/>
                <w:color w:val="000000"/>
                <w:spacing w:val="-10"/>
                <w:szCs w:val="21"/>
              </w:rPr>
            </w:pPr>
            <w:r>
              <w:rPr>
                <w:rFonts w:hint="eastAsia"/>
                <w:color w:val="000000"/>
                <w:spacing w:val="-10"/>
                <w:szCs w:val="21"/>
              </w:rPr>
              <w:t>废机油</w:t>
            </w:r>
          </w:p>
        </w:tc>
        <w:tc>
          <w:tcPr>
            <w:tcW w:w="1050" w:type="dxa"/>
            <w:tcBorders>
              <w:right w:val="single" w:color="auto" w:sz="4" w:space="0"/>
            </w:tcBorders>
            <w:vAlign w:val="center"/>
          </w:tcPr>
          <w:p>
            <w:pPr>
              <w:spacing w:line="320" w:lineRule="exact"/>
              <w:jc w:val="center"/>
              <w:rPr>
                <w:rFonts w:hint="eastAsia"/>
                <w:sz w:val="20"/>
                <w:szCs w:val="21"/>
              </w:rPr>
            </w:pPr>
            <w:r>
              <w:rPr>
                <w:rFonts w:hint="eastAsia"/>
                <w:sz w:val="20"/>
                <w:szCs w:val="21"/>
              </w:rPr>
              <w:t>0.8</w:t>
            </w:r>
          </w:p>
        </w:tc>
        <w:tc>
          <w:tcPr>
            <w:tcW w:w="1050" w:type="dxa"/>
            <w:tcBorders>
              <w:left w:val="single" w:color="auto" w:sz="4" w:space="0"/>
            </w:tcBorders>
            <w:vAlign w:val="center"/>
          </w:tcPr>
          <w:p>
            <w:pPr>
              <w:spacing w:line="320" w:lineRule="exact"/>
              <w:jc w:val="center"/>
              <w:rPr>
                <w:rFonts w:hint="eastAsia"/>
                <w:sz w:val="20"/>
                <w:szCs w:val="21"/>
              </w:rPr>
            </w:pPr>
            <w:r>
              <w:rPr>
                <w:rFonts w:hint="eastAsia"/>
                <w:sz w:val="20"/>
                <w:szCs w:val="21"/>
              </w:rPr>
              <w:t>0.8</w:t>
            </w:r>
          </w:p>
        </w:tc>
        <w:tc>
          <w:tcPr>
            <w:tcW w:w="945" w:type="dxa"/>
            <w:vAlign w:val="center"/>
          </w:tcPr>
          <w:p>
            <w:pPr>
              <w:spacing w:line="320" w:lineRule="exact"/>
              <w:jc w:val="center"/>
              <w:rPr>
                <w:color w:val="000000"/>
                <w:szCs w:val="21"/>
              </w:rPr>
            </w:pPr>
            <w:r>
              <w:rPr>
                <w:rFonts w:hint="eastAsia"/>
                <w:color w:val="000000"/>
                <w:szCs w:val="21"/>
              </w:rPr>
              <w:t>0</w:t>
            </w:r>
          </w:p>
        </w:tc>
        <w:tc>
          <w:tcPr>
            <w:tcW w:w="1050" w:type="dxa"/>
            <w:vAlign w:val="center"/>
          </w:tcPr>
          <w:p>
            <w:pPr>
              <w:spacing w:line="320" w:lineRule="exact"/>
              <w:jc w:val="center"/>
              <w:rPr>
                <w:color w:val="000000"/>
                <w:szCs w:val="21"/>
              </w:rPr>
            </w:pPr>
            <w:r>
              <w:rPr>
                <w:rFonts w:hint="eastAsia"/>
                <w:color w:val="000000"/>
                <w:szCs w:val="21"/>
              </w:rPr>
              <w:t>0</w:t>
            </w:r>
          </w:p>
        </w:tc>
        <w:tc>
          <w:tcPr>
            <w:tcW w:w="1905" w:type="dxa"/>
            <w:gridSpan w:val="2"/>
            <w:vAlign w:val="center"/>
          </w:tcPr>
          <w:p>
            <w:pPr>
              <w:snapToGrid w:val="0"/>
              <w:spacing w:line="320" w:lineRule="exact"/>
              <w:jc w:val="center"/>
              <w:rPr>
                <w:rFonts w:hint="eastAsia"/>
                <w:color w:val="000000"/>
                <w:szCs w:val="21"/>
              </w:rPr>
            </w:pPr>
            <w:r>
              <w:rPr>
                <w:rFonts w:hint="eastAsia"/>
                <w:color w:val="000000"/>
                <w:szCs w:val="21"/>
              </w:rPr>
              <w:t>委托南京市孝武润滑油添加剂经营部处理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831" w:hRule="atLeast"/>
          <w:jc w:val="center"/>
        </w:trPr>
        <w:tc>
          <w:tcPr>
            <w:tcW w:w="814" w:type="dxa"/>
            <w:vAlign w:val="center"/>
          </w:tcPr>
          <w:p>
            <w:pPr>
              <w:snapToGrid w:val="0"/>
              <w:jc w:val="center"/>
              <w:rPr>
                <w:color w:val="000000"/>
                <w:szCs w:val="21"/>
              </w:rPr>
            </w:pPr>
            <w:r>
              <w:rPr>
                <w:color w:val="000000"/>
                <w:szCs w:val="21"/>
              </w:rPr>
              <w:t>电离和电磁辐射</w:t>
            </w:r>
          </w:p>
        </w:tc>
        <w:tc>
          <w:tcPr>
            <w:tcW w:w="976" w:type="dxa"/>
            <w:vAlign w:val="center"/>
          </w:tcPr>
          <w:p>
            <w:pPr>
              <w:snapToGrid w:val="0"/>
              <w:jc w:val="center"/>
              <w:rPr>
                <w:color w:val="000000"/>
                <w:szCs w:val="21"/>
              </w:rPr>
            </w:pPr>
            <w:r>
              <w:rPr>
                <w:color w:val="000000"/>
                <w:szCs w:val="21"/>
              </w:rPr>
              <w:t>-</w:t>
            </w:r>
          </w:p>
        </w:tc>
        <w:tc>
          <w:tcPr>
            <w:tcW w:w="1155" w:type="dxa"/>
            <w:vAlign w:val="center"/>
          </w:tcPr>
          <w:p>
            <w:pPr>
              <w:jc w:val="center"/>
              <w:rPr>
                <w:color w:val="000000"/>
                <w:szCs w:val="21"/>
              </w:rPr>
            </w:pPr>
            <w:r>
              <w:rPr>
                <w:color w:val="000000"/>
                <w:szCs w:val="21"/>
              </w:rPr>
              <w:t>-</w:t>
            </w:r>
          </w:p>
        </w:tc>
        <w:tc>
          <w:tcPr>
            <w:tcW w:w="1050" w:type="dxa"/>
            <w:tcBorders>
              <w:right w:val="single" w:color="auto" w:sz="4" w:space="0"/>
            </w:tcBorders>
            <w:vAlign w:val="center"/>
          </w:tcPr>
          <w:p>
            <w:pPr>
              <w:jc w:val="center"/>
              <w:rPr>
                <w:color w:val="000000"/>
                <w:szCs w:val="21"/>
              </w:rPr>
            </w:pPr>
            <w:r>
              <w:rPr>
                <w:color w:val="000000"/>
                <w:szCs w:val="21"/>
              </w:rPr>
              <w:t>-</w:t>
            </w:r>
          </w:p>
        </w:tc>
        <w:tc>
          <w:tcPr>
            <w:tcW w:w="1050" w:type="dxa"/>
            <w:tcBorders>
              <w:left w:val="single" w:color="auto" w:sz="4" w:space="0"/>
            </w:tcBorders>
            <w:vAlign w:val="center"/>
          </w:tcPr>
          <w:p>
            <w:pPr>
              <w:jc w:val="center"/>
              <w:rPr>
                <w:color w:val="000000"/>
                <w:szCs w:val="21"/>
              </w:rPr>
            </w:pPr>
            <w:r>
              <w:rPr>
                <w:color w:val="000000"/>
                <w:szCs w:val="21"/>
              </w:rPr>
              <w:t>-</w:t>
            </w:r>
          </w:p>
        </w:tc>
        <w:tc>
          <w:tcPr>
            <w:tcW w:w="945" w:type="dxa"/>
            <w:vAlign w:val="center"/>
          </w:tcPr>
          <w:p>
            <w:pPr>
              <w:jc w:val="center"/>
              <w:rPr>
                <w:color w:val="000000"/>
                <w:szCs w:val="21"/>
              </w:rPr>
            </w:pPr>
            <w:r>
              <w:rPr>
                <w:color w:val="000000"/>
                <w:szCs w:val="21"/>
              </w:rPr>
              <w:t>-</w:t>
            </w:r>
          </w:p>
        </w:tc>
        <w:tc>
          <w:tcPr>
            <w:tcW w:w="1050" w:type="dxa"/>
            <w:vAlign w:val="center"/>
          </w:tcPr>
          <w:p>
            <w:pPr>
              <w:jc w:val="center"/>
              <w:rPr>
                <w:color w:val="000000"/>
                <w:szCs w:val="21"/>
              </w:rPr>
            </w:pPr>
            <w:r>
              <w:rPr>
                <w:color w:val="000000"/>
                <w:szCs w:val="21"/>
              </w:rPr>
              <w:t>-</w:t>
            </w:r>
          </w:p>
        </w:tc>
        <w:tc>
          <w:tcPr>
            <w:tcW w:w="1905" w:type="dxa"/>
            <w:gridSpan w:val="2"/>
            <w:vAlign w:val="center"/>
          </w:tcPr>
          <w:p>
            <w:pPr>
              <w:jc w:val="center"/>
              <w:rPr>
                <w:color w:val="000000"/>
                <w:kern w:val="0"/>
                <w:szCs w:val="21"/>
              </w:rPr>
            </w:pPr>
            <w:r>
              <w:rPr>
                <w:color w:val="000000"/>
                <w:kern w:val="0"/>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010" w:hRule="atLeast"/>
          <w:jc w:val="center"/>
        </w:trPr>
        <w:tc>
          <w:tcPr>
            <w:tcW w:w="814" w:type="dxa"/>
            <w:vAlign w:val="center"/>
          </w:tcPr>
          <w:p>
            <w:pPr>
              <w:snapToGrid w:val="0"/>
              <w:jc w:val="center"/>
              <w:rPr>
                <w:color w:val="000000"/>
                <w:szCs w:val="21"/>
              </w:rPr>
            </w:pPr>
            <w:r>
              <w:rPr>
                <w:color w:val="000000"/>
                <w:szCs w:val="21"/>
              </w:rPr>
              <w:t>噪声</w:t>
            </w:r>
          </w:p>
        </w:tc>
        <w:tc>
          <w:tcPr>
            <w:tcW w:w="8131" w:type="dxa"/>
            <w:gridSpan w:val="8"/>
            <w:vAlign w:val="center"/>
          </w:tcPr>
          <w:p>
            <w:pPr>
              <w:snapToGrid w:val="0"/>
              <w:spacing w:line="400" w:lineRule="exact"/>
              <w:jc w:val="left"/>
              <w:rPr>
                <w:szCs w:val="21"/>
              </w:rPr>
            </w:pPr>
            <w:r>
              <w:rPr>
                <w:szCs w:val="21"/>
              </w:rPr>
              <w:t>项目运营期主要来</w:t>
            </w:r>
            <w:r>
              <w:rPr>
                <w:rFonts w:hint="eastAsia"/>
                <w:szCs w:val="21"/>
              </w:rPr>
              <w:t>运输车辆交通噪声、叉车</w:t>
            </w:r>
            <w:r>
              <w:rPr>
                <w:szCs w:val="21"/>
              </w:rPr>
              <w:t>、室内加压水泵、空调外机等噪音经建筑隔声、建筑退让、绿化降噪、合理布局等措施后场界噪声可以达到《工业企业厂界环境噪声排放标准》（GB12348-2008）3类</w:t>
            </w:r>
            <w:r>
              <w:rPr>
                <w:rFonts w:hint="eastAsia"/>
                <w:szCs w:val="21"/>
              </w:rPr>
              <w:t>、4类</w:t>
            </w:r>
            <w:r>
              <w:rPr>
                <w:szCs w:val="21"/>
              </w:rPr>
              <w:t>标准，不会降低周围声环境功能类别。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555" w:hRule="atLeast"/>
          <w:jc w:val="center"/>
        </w:trPr>
        <w:tc>
          <w:tcPr>
            <w:tcW w:w="814" w:type="dxa"/>
            <w:vAlign w:val="center"/>
          </w:tcPr>
          <w:p>
            <w:pPr>
              <w:snapToGrid w:val="0"/>
              <w:jc w:val="center"/>
              <w:rPr>
                <w:color w:val="000000"/>
                <w:szCs w:val="21"/>
              </w:rPr>
            </w:pPr>
            <w:r>
              <w:rPr>
                <w:color w:val="000000"/>
                <w:szCs w:val="21"/>
              </w:rPr>
              <w:t>生态</w:t>
            </w:r>
          </w:p>
        </w:tc>
        <w:tc>
          <w:tcPr>
            <w:tcW w:w="8131" w:type="dxa"/>
            <w:gridSpan w:val="8"/>
            <w:vAlign w:val="top"/>
          </w:tcPr>
          <w:p>
            <w:pPr>
              <w:spacing w:line="400" w:lineRule="exact"/>
              <w:rPr>
                <w:szCs w:val="21"/>
              </w:rPr>
            </w:pPr>
            <w:r>
              <w:rPr>
                <w:szCs w:val="21"/>
              </w:rPr>
              <w:t>生态保护措施及预期效果：</w:t>
            </w:r>
          </w:p>
          <w:p>
            <w:pPr>
              <w:snapToGrid w:val="0"/>
              <w:spacing w:line="400" w:lineRule="exact"/>
              <w:ind w:firstLine="420" w:firstLineChars="200"/>
              <w:rPr>
                <w:szCs w:val="21"/>
              </w:rPr>
            </w:pPr>
            <w:r>
              <w:rPr>
                <w:szCs w:val="21"/>
              </w:rPr>
              <w:t>项目建成运营后绿化面积</w:t>
            </w:r>
            <w:r>
              <w:rPr>
                <w:rFonts w:hint="eastAsia"/>
                <w:kern w:val="0"/>
                <w:szCs w:val="21"/>
              </w:rPr>
              <w:t>66220.4</w:t>
            </w:r>
            <w:r>
              <w:rPr>
                <w:szCs w:val="21"/>
              </w:rPr>
              <w:t>平方米，能够在一定程度上改善区域生态环境质量，美化环境。</w:t>
            </w:r>
          </w:p>
        </w:tc>
      </w:tr>
    </w:tbl>
    <w:p>
      <w:pPr>
        <w:spacing w:line="360" w:lineRule="auto"/>
        <w:jc w:val="center"/>
        <w:rPr>
          <w:rFonts w:eastAsia="黑体"/>
          <w:color w:val="000000"/>
          <w:szCs w:val="21"/>
        </w:rPr>
        <w:sectPr>
          <w:headerReference r:id="rId5" w:type="first"/>
          <w:footerReference r:id="rId7" w:type="first"/>
          <w:footerReference r:id="rId6" w:type="default"/>
          <w:pgSz w:w="11906" w:h="16838"/>
          <w:pgMar w:top="1440" w:right="1800" w:bottom="1440" w:left="1800" w:header="851" w:footer="992" w:gutter="0"/>
          <w:pgNumType w:start="1"/>
          <w:cols w:space="720" w:num="1"/>
          <w:titlePg/>
          <w:docGrid w:type="lines" w:linePitch="312" w:charSpace="0"/>
        </w:sectPr>
      </w:pPr>
    </w:p>
    <w:p>
      <w:pPr>
        <w:outlineLvl w:val="0"/>
        <w:rPr>
          <w:b/>
          <w:color w:val="000000"/>
          <w:sz w:val="24"/>
        </w:rPr>
      </w:pPr>
      <w:r>
        <w:rPr>
          <w:rFonts w:hint="eastAsia"/>
          <w:b/>
          <w:color w:val="000000"/>
          <w:sz w:val="24"/>
        </w:rPr>
        <w:t>8、</w:t>
      </w:r>
      <w:r>
        <w:rPr>
          <w:b/>
          <w:color w:val="000000"/>
          <w:sz w:val="24"/>
        </w:rPr>
        <w:t>环境影响分析</w:t>
      </w:r>
    </w:p>
    <w:tbl>
      <w:tblPr>
        <w:tblStyle w:val="33"/>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0" w:hRule="atLeast"/>
        </w:trPr>
        <w:tc>
          <w:tcPr>
            <w:tcW w:w="8649" w:type="dxa"/>
            <w:vAlign w:val="top"/>
          </w:tcPr>
          <w:p>
            <w:pPr>
              <w:spacing w:line="360" w:lineRule="auto"/>
              <w:rPr>
                <w:b/>
                <w:color w:val="000000"/>
                <w:sz w:val="24"/>
              </w:rPr>
            </w:pPr>
            <w:r>
              <w:rPr>
                <w:rFonts w:hint="eastAsia"/>
                <w:b/>
                <w:color w:val="000000"/>
                <w:sz w:val="24"/>
              </w:rPr>
              <w:t>8.1、</w:t>
            </w:r>
            <w:r>
              <w:rPr>
                <w:b/>
                <w:color w:val="000000"/>
                <w:sz w:val="24"/>
              </w:rPr>
              <w:t>施工期环境影响分析：</w:t>
            </w:r>
          </w:p>
          <w:p>
            <w:pPr>
              <w:pStyle w:val="17"/>
              <w:spacing w:line="360" w:lineRule="auto"/>
              <w:rPr>
                <w:rFonts w:ascii="Times New Roman" w:hAnsi="Times New Roman"/>
                <w:b/>
                <w:sz w:val="24"/>
                <w:szCs w:val="24"/>
              </w:rPr>
            </w:pPr>
            <w:r>
              <w:rPr>
                <w:rFonts w:ascii="Times New Roman" w:hAnsi="Times New Roman"/>
                <w:b/>
                <w:color w:val="000000"/>
                <w:sz w:val="24"/>
                <w:szCs w:val="24"/>
              </w:rPr>
              <w:t>施</w:t>
            </w:r>
            <w:r>
              <w:rPr>
                <w:rFonts w:ascii="Times New Roman" w:hAnsi="Times New Roman"/>
                <w:b/>
                <w:sz w:val="24"/>
                <w:szCs w:val="24"/>
              </w:rPr>
              <w:t>工期环境影响分析：</w:t>
            </w:r>
          </w:p>
          <w:p>
            <w:pPr>
              <w:autoSpaceDE w:val="0"/>
              <w:autoSpaceDN w:val="0"/>
              <w:adjustRightInd w:val="0"/>
              <w:snapToGrid w:val="0"/>
              <w:spacing w:line="360" w:lineRule="auto"/>
              <w:ind w:firstLine="480" w:firstLineChars="200"/>
              <w:rPr>
                <w:sz w:val="24"/>
              </w:rPr>
            </w:pPr>
            <w:r>
              <w:rPr>
                <w:sz w:val="24"/>
              </w:rPr>
              <w:t>从施工期工艺流程和产污环节看，施工期间的扬尘、废水、固废和机械噪声对外环境均会造成一定影响，但由于建设地点施工的范围有限，且影响也是在一定时期内的，随着施工期的结束，施工期的环境影响也将消除。以下将就这些污染及其对环境的影响加以分析，并提出相应的防治措施。</w:t>
            </w:r>
          </w:p>
          <w:p>
            <w:pPr>
              <w:numPr>
                <w:ilvl w:val="0"/>
                <w:numId w:val="2"/>
              </w:numPr>
              <w:snapToGrid w:val="0"/>
              <w:spacing w:line="360" w:lineRule="auto"/>
              <w:rPr>
                <w:sz w:val="24"/>
              </w:rPr>
            </w:pPr>
            <w:r>
              <w:rPr>
                <w:sz w:val="24"/>
              </w:rPr>
              <w:t>废水：主要有施工人员产生的生活污水和设备清洗维修产生的废水。</w:t>
            </w:r>
          </w:p>
          <w:p>
            <w:pPr>
              <w:numPr>
                <w:ilvl w:val="0"/>
                <w:numId w:val="2"/>
              </w:numPr>
              <w:snapToGrid w:val="0"/>
              <w:spacing w:line="360" w:lineRule="auto"/>
              <w:rPr>
                <w:sz w:val="24"/>
              </w:rPr>
            </w:pPr>
            <w:r>
              <w:rPr>
                <w:sz w:val="24"/>
              </w:rPr>
              <w:t>废气：物料运输的汽车和施工物料装卸等产生的二次扬尘。</w:t>
            </w:r>
          </w:p>
          <w:p>
            <w:pPr>
              <w:numPr>
                <w:ilvl w:val="0"/>
                <w:numId w:val="2"/>
              </w:numPr>
              <w:snapToGrid w:val="0"/>
              <w:spacing w:line="360" w:lineRule="auto"/>
              <w:rPr>
                <w:sz w:val="24"/>
              </w:rPr>
            </w:pPr>
            <w:r>
              <w:rPr>
                <w:sz w:val="24"/>
              </w:rPr>
              <w:t>噪声：机械设备和运输车辆产生的噪声。</w:t>
            </w:r>
          </w:p>
          <w:p>
            <w:pPr>
              <w:numPr>
                <w:ilvl w:val="0"/>
                <w:numId w:val="2"/>
              </w:numPr>
              <w:snapToGrid w:val="0"/>
              <w:spacing w:line="360" w:lineRule="auto"/>
              <w:rPr>
                <w:sz w:val="24"/>
              </w:rPr>
            </w:pPr>
            <w:r>
              <w:rPr>
                <w:sz w:val="24"/>
              </w:rPr>
              <w:t>固体废物：施工过程中产生的建筑垃圾。</w:t>
            </w:r>
          </w:p>
          <w:p>
            <w:pPr>
              <w:autoSpaceDE w:val="0"/>
              <w:autoSpaceDN w:val="0"/>
              <w:adjustRightInd w:val="0"/>
              <w:snapToGrid w:val="0"/>
              <w:spacing w:line="360" w:lineRule="auto"/>
              <w:rPr>
                <w:sz w:val="24"/>
              </w:rPr>
            </w:pPr>
            <w:r>
              <w:rPr>
                <w:sz w:val="24"/>
              </w:rPr>
              <w:t>1．施工期水环境影响分析</w:t>
            </w:r>
          </w:p>
          <w:p>
            <w:pPr>
              <w:autoSpaceDE w:val="0"/>
              <w:autoSpaceDN w:val="0"/>
              <w:adjustRightInd w:val="0"/>
              <w:snapToGrid w:val="0"/>
              <w:spacing w:line="360" w:lineRule="auto"/>
              <w:ind w:firstLine="480" w:firstLineChars="200"/>
              <w:rPr>
                <w:sz w:val="24"/>
              </w:rPr>
            </w:pPr>
            <w:r>
              <w:rPr>
                <w:sz w:val="24"/>
              </w:rPr>
              <w:t>施工过程产生的废水主要有：</w:t>
            </w:r>
          </w:p>
          <w:p>
            <w:pPr>
              <w:autoSpaceDE w:val="0"/>
              <w:autoSpaceDN w:val="0"/>
              <w:adjustRightInd w:val="0"/>
              <w:snapToGrid w:val="0"/>
              <w:spacing w:line="360" w:lineRule="auto"/>
              <w:ind w:firstLine="480" w:firstLineChars="200"/>
              <w:rPr>
                <w:sz w:val="24"/>
              </w:rPr>
            </w:pPr>
            <w:r>
              <w:rPr>
                <w:sz w:val="24"/>
              </w:rPr>
              <w:t>（1）生产废水</w:t>
            </w:r>
          </w:p>
          <w:p>
            <w:pPr>
              <w:autoSpaceDE w:val="0"/>
              <w:autoSpaceDN w:val="0"/>
              <w:adjustRightInd w:val="0"/>
              <w:snapToGrid w:val="0"/>
              <w:spacing w:line="360" w:lineRule="auto"/>
              <w:ind w:firstLine="480" w:firstLineChars="200"/>
              <w:rPr>
                <w:sz w:val="24"/>
              </w:rPr>
            </w:pPr>
            <w:r>
              <w:rPr>
                <w:sz w:val="24"/>
              </w:rPr>
              <w:t>包括各种施工机械设备运转的冷却及洗涤用水。含有一定量的油污。同时在设备安装过程中，因调试、清洗设备，也会产生一定量的含油废水。生产废水的产生量与工地管理水平关系极大，如能从严管理，做到节约用水，杜绝泄漏，其排水量可减少一半。</w:t>
            </w:r>
          </w:p>
          <w:p>
            <w:pPr>
              <w:autoSpaceDE w:val="0"/>
              <w:autoSpaceDN w:val="0"/>
              <w:adjustRightInd w:val="0"/>
              <w:snapToGrid w:val="0"/>
              <w:spacing w:line="360" w:lineRule="auto"/>
              <w:ind w:firstLine="480" w:firstLineChars="200"/>
              <w:rPr>
                <w:sz w:val="24"/>
              </w:rPr>
            </w:pPr>
            <w:r>
              <w:rPr>
                <w:sz w:val="24"/>
              </w:rPr>
              <w:t>（2）生活污水</w:t>
            </w:r>
          </w:p>
          <w:p>
            <w:pPr>
              <w:autoSpaceDE w:val="0"/>
              <w:autoSpaceDN w:val="0"/>
              <w:adjustRightInd w:val="0"/>
              <w:snapToGrid w:val="0"/>
              <w:spacing w:line="360" w:lineRule="auto"/>
              <w:ind w:firstLine="480" w:firstLineChars="200"/>
              <w:rPr>
                <w:sz w:val="24"/>
              </w:rPr>
            </w:pPr>
            <w:r>
              <w:rPr>
                <w:sz w:val="24"/>
              </w:rPr>
              <w:t>项目施工期每天平均人员约</w:t>
            </w:r>
            <w:r>
              <w:rPr>
                <w:rFonts w:hint="eastAsia"/>
                <w:sz w:val="24"/>
              </w:rPr>
              <w:t>120</w:t>
            </w:r>
            <w:r>
              <w:rPr>
                <w:sz w:val="24"/>
              </w:rPr>
              <w:t>人，生活污水产生量以</w:t>
            </w:r>
            <w:r>
              <w:rPr>
                <w:rFonts w:hint="eastAsia"/>
                <w:sz w:val="24"/>
              </w:rPr>
              <w:t>10</w:t>
            </w:r>
            <w:r>
              <w:rPr>
                <w:sz w:val="24"/>
              </w:rPr>
              <w:t>0L/人·d计，则施工期用水量为</w:t>
            </w:r>
            <w:r>
              <w:rPr>
                <w:rFonts w:hint="eastAsia"/>
                <w:sz w:val="24"/>
              </w:rPr>
              <w:t>15</w:t>
            </w:r>
            <w:r>
              <w:rPr>
                <w:sz w:val="24"/>
              </w:rPr>
              <w:t>m</w:t>
            </w:r>
            <w:r>
              <w:rPr>
                <w:sz w:val="24"/>
                <w:vertAlign w:val="superscript"/>
              </w:rPr>
              <w:t>3</w:t>
            </w:r>
            <w:r>
              <w:rPr>
                <w:sz w:val="24"/>
              </w:rPr>
              <w:t>/d，排污系数按用水量的80%计，则施工期生活污水排放量为</w:t>
            </w:r>
            <w:r>
              <w:rPr>
                <w:rFonts w:hint="eastAsia"/>
                <w:sz w:val="24"/>
              </w:rPr>
              <w:t>12</w:t>
            </w:r>
            <w:r>
              <w:rPr>
                <w:sz w:val="24"/>
              </w:rPr>
              <w:t>m</w:t>
            </w:r>
            <w:r>
              <w:rPr>
                <w:sz w:val="24"/>
                <w:vertAlign w:val="superscript"/>
              </w:rPr>
              <w:t>3</w:t>
            </w:r>
            <w:r>
              <w:rPr>
                <w:sz w:val="24"/>
              </w:rPr>
              <w:t>/d，污染物COD、SS、NH</w:t>
            </w:r>
            <w:r>
              <w:rPr>
                <w:sz w:val="24"/>
                <w:vertAlign w:val="subscript"/>
              </w:rPr>
              <w:t>3</w:t>
            </w:r>
            <w:r>
              <w:rPr>
                <w:sz w:val="24"/>
              </w:rPr>
              <w:t>-N、TN、TP的产生浓度约为</w:t>
            </w:r>
            <w:r>
              <w:rPr>
                <w:rFonts w:hint="eastAsia"/>
                <w:sz w:val="24"/>
              </w:rPr>
              <w:t>40</w:t>
            </w:r>
            <w:r>
              <w:rPr>
                <w:sz w:val="24"/>
              </w:rPr>
              <w:t>0mg/L、2</w:t>
            </w:r>
            <w:r>
              <w:rPr>
                <w:rFonts w:hint="eastAsia"/>
                <w:sz w:val="24"/>
              </w:rPr>
              <w:t>50</w:t>
            </w:r>
            <w:r>
              <w:rPr>
                <w:sz w:val="24"/>
              </w:rPr>
              <w:t>mg/L、30mg/L和3.0mg/L，产生量分别约为</w:t>
            </w:r>
            <w:r>
              <w:rPr>
                <w:rFonts w:hint="eastAsia"/>
                <w:sz w:val="24"/>
              </w:rPr>
              <w:t>4.8</w:t>
            </w:r>
            <w:r>
              <w:rPr>
                <w:sz w:val="24"/>
              </w:rPr>
              <w:t>kg/d、</w:t>
            </w:r>
            <w:r>
              <w:rPr>
                <w:rFonts w:hint="eastAsia"/>
                <w:sz w:val="24"/>
              </w:rPr>
              <w:t>3</w:t>
            </w:r>
            <w:r>
              <w:rPr>
                <w:sz w:val="24"/>
              </w:rPr>
              <w:t>kg/d、0.</w:t>
            </w:r>
            <w:r>
              <w:rPr>
                <w:rFonts w:hint="eastAsia"/>
                <w:sz w:val="24"/>
              </w:rPr>
              <w:t>36</w:t>
            </w:r>
            <w:r>
              <w:rPr>
                <w:sz w:val="24"/>
              </w:rPr>
              <w:t>kg/d和0.0</w:t>
            </w:r>
            <w:r>
              <w:rPr>
                <w:rFonts w:hint="eastAsia"/>
                <w:sz w:val="24"/>
              </w:rPr>
              <w:t>4</w:t>
            </w:r>
            <w:r>
              <w:rPr>
                <w:sz w:val="24"/>
              </w:rPr>
              <w:t>kg/d。</w:t>
            </w:r>
          </w:p>
          <w:p>
            <w:pPr>
              <w:autoSpaceDE w:val="0"/>
              <w:autoSpaceDN w:val="0"/>
              <w:adjustRightInd w:val="0"/>
              <w:snapToGrid w:val="0"/>
              <w:spacing w:line="360" w:lineRule="auto"/>
              <w:ind w:firstLine="480" w:firstLineChars="200"/>
              <w:rPr>
                <w:sz w:val="24"/>
              </w:rPr>
            </w:pPr>
            <w:r>
              <w:rPr>
                <w:sz w:val="24"/>
              </w:rPr>
              <w:t>由于项目施工期污水排放量仅为</w:t>
            </w:r>
            <w:r>
              <w:rPr>
                <w:rFonts w:hint="eastAsia"/>
                <w:sz w:val="24"/>
              </w:rPr>
              <w:t>12</w:t>
            </w:r>
            <w:r>
              <w:rPr>
                <w:sz w:val="24"/>
              </w:rPr>
              <w:t>m</w:t>
            </w:r>
            <w:r>
              <w:rPr>
                <w:sz w:val="24"/>
                <w:vertAlign w:val="superscript"/>
              </w:rPr>
              <w:t>3</w:t>
            </w:r>
            <w:r>
              <w:rPr>
                <w:sz w:val="24"/>
              </w:rPr>
              <w:t>/d，污染物排放量很小，经化粪池处理后排入市政污水管网，对环境影响不大。</w:t>
            </w:r>
          </w:p>
          <w:p>
            <w:pPr>
              <w:autoSpaceDE w:val="0"/>
              <w:autoSpaceDN w:val="0"/>
              <w:adjustRightInd w:val="0"/>
              <w:snapToGrid w:val="0"/>
              <w:spacing w:line="360" w:lineRule="auto"/>
              <w:ind w:firstLine="480" w:firstLineChars="200"/>
              <w:rPr>
                <w:sz w:val="24"/>
              </w:rPr>
            </w:pPr>
            <w:r>
              <w:rPr>
                <w:sz w:val="24"/>
              </w:rPr>
              <w:t>2．施工废气的环境影响分析</w:t>
            </w:r>
          </w:p>
          <w:p>
            <w:pPr>
              <w:autoSpaceDE w:val="0"/>
              <w:autoSpaceDN w:val="0"/>
              <w:adjustRightInd w:val="0"/>
              <w:snapToGrid w:val="0"/>
              <w:spacing w:line="360" w:lineRule="auto"/>
              <w:ind w:firstLine="480" w:firstLineChars="200"/>
              <w:rPr>
                <w:sz w:val="24"/>
              </w:rPr>
            </w:pPr>
            <w:r>
              <w:rPr>
                <w:sz w:val="24"/>
              </w:rPr>
              <w:t>废气主要来源于施工机械和运输车辆所排放的废气。污染范围一般限于施工工地周围。且施工时间短，项目建成后，施工期的大气污染也随之结束。但仍需加强措施，减少扬尘的影响。根据类比调查，扬尘的影响范围主要在施工现场附近，100米以内扬尘量占总扬尘量的57%左右。因此，本环评要求施工时应遵照建设部的有关施工规范，在工地四周设置一定高度的围墙，并定时对路面洒水，以控制扬尘对环境及周边居民造成的影响。根据类比调查，采取有效防护措施后，施工期扬尘对环境的影响不大。</w:t>
            </w:r>
          </w:p>
          <w:p>
            <w:pPr>
              <w:autoSpaceDE w:val="0"/>
              <w:autoSpaceDN w:val="0"/>
              <w:adjustRightInd w:val="0"/>
              <w:snapToGrid w:val="0"/>
              <w:spacing w:line="360" w:lineRule="auto"/>
              <w:ind w:firstLine="480" w:firstLineChars="200"/>
              <w:rPr>
                <w:sz w:val="24"/>
              </w:rPr>
            </w:pPr>
            <w:r>
              <w:rPr>
                <w:sz w:val="24"/>
              </w:rPr>
              <w:t>3．施工期噪声影响分析</w:t>
            </w:r>
          </w:p>
          <w:p>
            <w:pPr>
              <w:autoSpaceDE w:val="0"/>
              <w:autoSpaceDN w:val="0"/>
              <w:adjustRightInd w:val="0"/>
              <w:snapToGrid w:val="0"/>
              <w:spacing w:line="360" w:lineRule="auto"/>
              <w:ind w:firstLine="480" w:firstLineChars="200"/>
              <w:rPr>
                <w:sz w:val="24"/>
              </w:rPr>
            </w:pPr>
            <w:r>
              <w:rPr>
                <w:sz w:val="24"/>
              </w:rPr>
              <w:t>根据同类施工阶段的类比调查，施工期间的主要噪声源为各类施工机械的辐射噪声和原材料、建筑垃圾运输时车辆引发的交通噪声，一般施工机械的声功率级在95dB（A）以上。</w:t>
            </w:r>
          </w:p>
          <w:p>
            <w:pPr>
              <w:autoSpaceDE w:val="0"/>
              <w:autoSpaceDN w:val="0"/>
              <w:adjustRightInd w:val="0"/>
              <w:snapToGrid w:val="0"/>
              <w:spacing w:line="360" w:lineRule="auto"/>
              <w:ind w:firstLine="480" w:firstLineChars="200"/>
              <w:rPr>
                <w:sz w:val="24"/>
              </w:rPr>
            </w:pPr>
            <w:r>
              <w:rPr>
                <w:sz w:val="24"/>
              </w:rPr>
              <w:t>一般施工作业噪声达标距离昼间约为100米，夜间约为300-400米。所以施工期间，应严格执行《建筑施工噪声管理办法》，合理安排施工时间，每日12:00—14:00，22:00—次日6:00禁止施工。施工期噪声具有临时性、阶段性和不固定性等特点，随着施工的结束，项目施工期噪声对周围声环境的影响就会停止。</w:t>
            </w:r>
          </w:p>
          <w:p>
            <w:pPr>
              <w:autoSpaceDE w:val="0"/>
              <w:autoSpaceDN w:val="0"/>
              <w:adjustRightInd w:val="0"/>
              <w:snapToGrid w:val="0"/>
              <w:spacing w:line="360" w:lineRule="auto"/>
              <w:ind w:firstLine="480" w:firstLineChars="200"/>
              <w:rPr>
                <w:sz w:val="24"/>
              </w:rPr>
            </w:pPr>
            <w:r>
              <w:rPr>
                <w:sz w:val="24"/>
              </w:rPr>
              <w:t>4．施工垃圾的环境影响分析</w:t>
            </w:r>
          </w:p>
          <w:p>
            <w:pPr>
              <w:autoSpaceDE w:val="0"/>
              <w:autoSpaceDN w:val="0"/>
              <w:adjustRightInd w:val="0"/>
              <w:snapToGrid w:val="0"/>
              <w:spacing w:line="360" w:lineRule="auto"/>
              <w:ind w:firstLine="480" w:firstLineChars="200"/>
              <w:rPr>
                <w:sz w:val="24"/>
              </w:rPr>
            </w:pPr>
            <w:r>
              <w:rPr>
                <w:sz w:val="24"/>
              </w:rPr>
              <w:t>施工期的固体废物主要有：（1）施工期间废弃的建筑材料如砂石、石灰、混凝土、木材、废砖、土石方等；（2）现场施工人员的日常生活产生的一定数量的生活垃圾。</w:t>
            </w:r>
          </w:p>
          <w:p>
            <w:pPr>
              <w:autoSpaceDE w:val="0"/>
              <w:autoSpaceDN w:val="0"/>
              <w:adjustRightInd w:val="0"/>
              <w:snapToGrid w:val="0"/>
              <w:spacing w:line="360" w:lineRule="auto"/>
              <w:ind w:firstLine="480" w:firstLineChars="200"/>
              <w:rPr>
                <w:sz w:val="24"/>
              </w:rPr>
            </w:pPr>
            <w:r>
              <w:rPr>
                <w:sz w:val="24"/>
              </w:rPr>
              <w:t>施工过程中建筑垃圾要做到集中收集、及时清运，防止其乱堆放、或长期堆放而产生扬尘污染。施工结束后，要及时清理施工现场，拆除临时工棚等临时建筑物，废弃的建筑材料必须送到指定地点处置。生活垃圾应集中收集、及时清运交环卫部门处理处置，防止因长期堆放产生的腐烂变质、滋生蚊虫苍蝇，产生恶臭，传染疾病，从而对周围环境和作业人员的健康带来不利影响。</w:t>
            </w:r>
          </w:p>
          <w:p>
            <w:pPr>
              <w:spacing w:line="360" w:lineRule="auto"/>
              <w:ind w:firstLine="480" w:firstLineChars="200"/>
              <w:rPr>
                <w:sz w:val="24"/>
              </w:rPr>
            </w:pPr>
            <w:r>
              <w:rPr>
                <w:sz w:val="24"/>
              </w:rPr>
              <w:t>5、施工期土方平衡和水土流失影响</w:t>
            </w:r>
          </w:p>
          <w:p>
            <w:pPr>
              <w:spacing w:line="360" w:lineRule="auto"/>
              <w:ind w:firstLine="480" w:firstLineChars="200"/>
              <w:rPr>
                <w:sz w:val="24"/>
              </w:rPr>
            </w:pPr>
            <w:r>
              <w:rPr>
                <w:sz w:val="24"/>
              </w:rPr>
              <w:t>（1）土方平衡</w:t>
            </w:r>
          </w:p>
          <w:p>
            <w:pPr>
              <w:spacing w:line="360" w:lineRule="auto"/>
              <w:ind w:firstLine="480" w:firstLineChars="200"/>
              <w:rPr>
                <w:sz w:val="24"/>
              </w:rPr>
            </w:pPr>
            <w:r>
              <w:rPr>
                <w:sz w:val="24"/>
              </w:rPr>
              <w:t>根据工程概况和项目设计资料，本项目挖方约</w:t>
            </w:r>
            <w:r>
              <w:rPr>
                <w:rFonts w:hint="eastAsia"/>
                <w:sz w:val="24"/>
              </w:rPr>
              <w:t>23万</w:t>
            </w:r>
            <w:r>
              <w:rPr>
                <w:sz w:val="24"/>
              </w:rPr>
              <w:t>m</w:t>
            </w:r>
            <w:r>
              <w:rPr>
                <w:sz w:val="24"/>
                <w:vertAlign w:val="superscript"/>
              </w:rPr>
              <w:t>3</w:t>
            </w:r>
            <w:r>
              <w:rPr>
                <w:sz w:val="24"/>
              </w:rPr>
              <w:t>，除部分用作绿化填土和场地抬高外，剩余挖方按规定运往指定地点堆放，本项目不另设弃土场。</w:t>
            </w:r>
          </w:p>
          <w:p>
            <w:pPr>
              <w:spacing w:line="360" w:lineRule="auto"/>
              <w:ind w:firstLine="480" w:firstLineChars="200"/>
              <w:rPr>
                <w:sz w:val="24"/>
              </w:rPr>
            </w:pPr>
            <w:r>
              <w:rPr>
                <w:sz w:val="24"/>
              </w:rPr>
              <w:t>（2）水土流失</w:t>
            </w:r>
          </w:p>
          <w:p>
            <w:pPr>
              <w:spacing w:line="360" w:lineRule="auto"/>
              <w:ind w:firstLine="480" w:firstLineChars="200"/>
              <w:rPr>
                <w:sz w:val="24"/>
              </w:rPr>
            </w:pPr>
            <w:r>
              <w:rPr>
                <w:sz w:val="24"/>
              </w:rPr>
              <w:t>本项目所用地形比较平整，本项目施工期水土流失主要是由于场地平整堆存造成的。水土流失采用下式计算：</w:t>
            </w:r>
          </w:p>
          <w:p>
            <w:pPr>
              <w:autoSpaceDE w:val="0"/>
              <w:autoSpaceDN w:val="0"/>
              <w:adjustRightInd w:val="0"/>
              <w:spacing w:line="360" w:lineRule="auto"/>
              <w:ind w:firstLine="843" w:firstLineChars="350"/>
              <w:jc w:val="center"/>
              <w:rPr>
                <w:b/>
                <w:i/>
                <w:iCs/>
                <w:kern w:val="0"/>
                <w:sz w:val="24"/>
              </w:rPr>
            </w:pPr>
            <w:r>
              <w:rPr>
                <w:b/>
                <w:i/>
                <w:iCs/>
                <w:kern w:val="0"/>
                <w:sz w:val="24"/>
              </w:rPr>
              <w:t>A</w:t>
            </w:r>
            <w:r>
              <w:rPr>
                <w:rFonts w:eastAsia="SymbolMT"/>
                <w:b/>
                <w:kern w:val="0"/>
                <w:sz w:val="24"/>
              </w:rPr>
              <w:t>=</w:t>
            </w:r>
            <w:r>
              <w:rPr>
                <w:b/>
                <w:i/>
                <w:iCs/>
                <w:kern w:val="0"/>
                <w:sz w:val="24"/>
              </w:rPr>
              <w:t>R</w:t>
            </w:r>
            <w:r>
              <w:rPr>
                <w:rFonts w:ascii="Cambria Math" w:hAnsi="Cambria Math" w:eastAsia="MS Mincho" w:cs="Cambria Math"/>
                <w:b/>
                <w:kern w:val="0"/>
                <w:sz w:val="24"/>
              </w:rPr>
              <w:t>⋅</w:t>
            </w:r>
            <w:r>
              <w:rPr>
                <w:b/>
                <w:i/>
                <w:iCs/>
                <w:kern w:val="0"/>
                <w:sz w:val="24"/>
              </w:rPr>
              <w:t>K</w:t>
            </w:r>
            <w:r>
              <w:rPr>
                <w:rFonts w:ascii="Cambria Math" w:hAnsi="Cambria Math" w:eastAsia="MS Mincho" w:cs="Cambria Math"/>
                <w:b/>
                <w:kern w:val="0"/>
                <w:sz w:val="24"/>
              </w:rPr>
              <w:t>⋅</w:t>
            </w:r>
            <w:r>
              <w:rPr>
                <w:b/>
                <w:i/>
                <w:iCs/>
                <w:kern w:val="0"/>
                <w:sz w:val="24"/>
              </w:rPr>
              <w:t>LS</w:t>
            </w:r>
            <w:r>
              <w:rPr>
                <w:rFonts w:ascii="Cambria Math" w:hAnsi="Cambria Math" w:eastAsia="MS Mincho" w:cs="Cambria Math"/>
                <w:b/>
                <w:kern w:val="0"/>
                <w:sz w:val="24"/>
              </w:rPr>
              <w:t>⋅</w:t>
            </w:r>
            <w:r>
              <w:rPr>
                <w:b/>
                <w:i/>
                <w:iCs/>
                <w:kern w:val="0"/>
                <w:sz w:val="24"/>
              </w:rPr>
              <w:t>C</w:t>
            </w:r>
            <w:r>
              <w:rPr>
                <w:rFonts w:ascii="Cambria Math" w:hAnsi="Cambria Math" w:eastAsia="MS Mincho" w:cs="Cambria Math"/>
                <w:b/>
                <w:kern w:val="0"/>
                <w:sz w:val="24"/>
              </w:rPr>
              <w:t>⋅</w:t>
            </w:r>
            <w:r>
              <w:rPr>
                <w:b/>
                <w:i/>
                <w:iCs/>
                <w:kern w:val="0"/>
                <w:sz w:val="24"/>
              </w:rPr>
              <w:t>P</w:t>
            </w:r>
          </w:p>
          <w:p>
            <w:pPr>
              <w:autoSpaceDE w:val="0"/>
              <w:autoSpaceDN w:val="0"/>
              <w:adjustRightInd w:val="0"/>
              <w:spacing w:line="360" w:lineRule="auto"/>
              <w:ind w:firstLine="480" w:firstLineChars="200"/>
              <w:jc w:val="left"/>
              <w:rPr>
                <w:kern w:val="0"/>
                <w:sz w:val="24"/>
              </w:rPr>
            </w:pPr>
            <w:r>
              <w:rPr>
                <w:kern w:val="0"/>
                <w:sz w:val="24"/>
              </w:rPr>
              <w:t>式中：</w:t>
            </w:r>
            <w:r>
              <w:rPr>
                <w:b/>
                <w:i/>
                <w:kern w:val="0"/>
                <w:sz w:val="24"/>
              </w:rPr>
              <w:t>A</w:t>
            </w:r>
            <w:r>
              <w:rPr>
                <w:kern w:val="0"/>
                <w:sz w:val="24"/>
              </w:rPr>
              <w:t>：土壤侵蚀模数，t/(km2·a)；</w:t>
            </w:r>
          </w:p>
          <w:p>
            <w:pPr>
              <w:autoSpaceDE w:val="0"/>
              <w:autoSpaceDN w:val="0"/>
              <w:adjustRightInd w:val="0"/>
              <w:spacing w:line="360" w:lineRule="auto"/>
              <w:ind w:firstLine="1205" w:firstLineChars="500"/>
              <w:jc w:val="left"/>
              <w:rPr>
                <w:kern w:val="0"/>
                <w:sz w:val="24"/>
              </w:rPr>
            </w:pPr>
            <w:r>
              <w:rPr>
                <w:b/>
                <w:i/>
                <w:kern w:val="0"/>
                <w:sz w:val="24"/>
              </w:rPr>
              <w:t>R</w:t>
            </w:r>
            <w:r>
              <w:rPr>
                <w:kern w:val="0"/>
                <w:sz w:val="24"/>
              </w:rPr>
              <w:t>：降雨侵蚀因子；</w:t>
            </w:r>
          </w:p>
          <w:p>
            <w:pPr>
              <w:autoSpaceDE w:val="0"/>
              <w:autoSpaceDN w:val="0"/>
              <w:adjustRightInd w:val="0"/>
              <w:spacing w:line="360" w:lineRule="auto"/>
              <w:ind w:firstLine="1205" w:firstLineChars="500"/>
              <w:jc w:val="left"/>
              <w:rPr>
                <w:kern w:val="0"/>
                <w:sz w:val="24"/>
              </w:rPr>
            </w:pPr>
            <w:r>
              <w:rPr>
                <w:b/>
                <w:i/>
                <w:kern w:val="0"/>
                <w:sz w:val="24"/>
              </w:rPr>
              <w:t>K</w:t>
            </w:r>
            <w:r>
              <w:rPr>
                <w:kern w:val="0"/>
                <w:sz w:val="24"/>
              </w:rPr>
              <w:t>：土壤可侵蚀因子；</w:t>
            </w:r>
          </w:p>
          <w:p>
            <w:pPr>
              <w:autoSpaceDE w:val="0"/>
              <w:autoSpaceDN w:val="0"/>
              <w:adjustRightInd w:val="0"/>
              <w:spacing w:line="360" w:lineRule="auto"/>
              <w:ind w:firstLine="1205" w:firstLineChars="500"/>
              <w:jc w:val="left"/>
              <w:rPr>
                <w:kern w:val="0"/>
                <w:sz w:val="24"/>
              </w:rPr>
            </w:pPr>
            <w:r>
              <w:rPr>
                <w:b/>
                <w:i/>
                <w:kern w:val="0"/>
                <w:sz w:val="24"/>
              </w:rPr>
              <w:t>C</w:t>
            </w:r>
            <w:r>
              <w:rPr>
                <w:kern w:val="0"/>
                <w:sz w:val="24"/>
              </w:rPr>
              <w:t>：覆盖和管理因子；</w:t>
            </w:r>
          </w:p>
          <w:p>
            <w:pPr>
              <w:autoSpaceDE w:val="0"/>
              <w:autoSpaceDN w:val="0"/>
              <w:adjustRightInd w:val="0"/>
              <w:spacing w:line="360" w:lineRule="auto"/>
              <w:ind w:firstLine="1205" w:firstLineChars="500"/>
              <w:jc w:val="left"/>
              <w:rPr>
                <w:kern w:val="0"/>
                <w:sz w:val="24"/>
              </w:rPr>
            </w:pPr>
            <w:r>
              <w:rPr>
                <w:b/>
                <w:i/>
                <w:kern w:val="0"/>
                <w:sz w:val="24"/>
              </w:rPr>
              <w:t>P</w:t>
            </w:r>
            <w:r>
              <w:rPr>
                <w:kern w:val="0"/>
                <w:sz w:val="24"/>
              </w:rPr>
              <w:t>：水土保持因子；</w:t>
            </w:r>
          </w:p>
          <w:p>
            <w:pPr>
              <w:autoSpaceDE w:val="0"/>
              <w:autoSpaceDN w:val="0"/>
              <w:adjustRightInd w:val="0"/>
              <w:ind w:firstLine="1084" w:firstLineChars="450"/>
              <w:jc w:val="left"/>
              <w:rPr>
                <w:kern w:val="0"/>
                <w:sz w:val="24"/>
              </w:rPr>
            </w:pPr>
            <w:r>
              <w:rPr>
                <w:b/>
                <w:i/>
                <w:kern w:val="0"/>
                <w:sz w:val="24"/>
              </w:rPr>
              <w:t>LS</w:t>
            </w:r>
            <w:r>
              <w:rPr>
                <w:kern w:val="0"/>
                <w:sz w:val="24"/>
              </w:rPr>
              <w:t>：地形因子，</w:t>
            </w:r>
            <w:r>
              <w:rPr>
                <w:position w:val="-24"/>
                <w:sz w:val="24"/>
              </w:rPr>
              <w:object>
                <v:shape id="_x0000_i1028" o:spt="75" type="#_x0000_t75" style="height:31pt;width:233pt;" o:ole="t" filled="f" stroked="f" coordsize="21600,21600">
                  <v:path/>
                  <v:fill on="f" focussize="0,0"/>
                  <v:stroke on="f"/>
                  <v:imagedata r:id="rId15" o:title=""/>
                  <o:lock v:ext="edit" aspectratio="t"/>
                  <w10:wrap type="none"/>
                  <w10:anchorlock/>
                </v:shape>
                <o:OLEObject Type="Embed" ProgID="Equation.DSMT4" ShapeID="_x0000_i1028" DrawAspect="Content" ObjectID="_1468075727" r:id="rId14"/>
              </w:object>
            </w:r>
          </w:p>
          <w:p>
            <w:pPr>
              <w:autoSpaceDE w:val="0"/>
              <w:autoSpaceDN w:val="0"/>
              <w:adjustRightInd w:val="0"/>
              <w:ind w:firstLine="1920" w:firstLineChars="800"/>
              <w:jc w:val="left"/>
              <w:rPr>
                <w:rFonts w:eastAsia="SymbolMT"/>
                <w:kern w:val="0"/>
                <w:sz w:val="24"/>
              </w:rPr>
            </w:pPr>
            <w:r>
              <w:rPr>
                <w:kern w:val="0"/>
                <w:sz w:val="24"/>
              </w:rPr>
              <w:t>其中</w:t>
            </w:r>
            <w:r>
              <w:rPr>
                <w:kern w:val="0"/>
                <w:sz w:val="24"/>
              </w:rPr>
              <w:object>
                <v:shape id="_x0000_i1029" o:spt="75" type="#_x0000_t75" style="height:13.95pt;width:11pt;" o:ole="t" filled="f" stroked="f" coordsize="21600,21600">
                  <v:path/>
                  <v:fill on="f" focussize="0,0"/>
                  <v:stroke on="f"/>
                  <v:imagedata r:id="rId17" o:title=""/>
                  <o:lock v:ext="edit" aspectratio="t"/>
                  <w10:wrap type="none"/>
                  <w10:anchorlock/>
                </v:shape>
                <o:OLEObject Type="Embed" ProgID="Equation.DSMT4" ShapeID="_x0000_i1029" DrawAspect="Content" ObjectID="_1468075728" r:id="rId16"/>
              </w:object>
            </w:r>
            <w:r>
              <w:rPr>
                <w:kern w:val="0"/>
                <w:sz w:val="24"/>
              </w:rPr>
              <w:t>为坡长，</w:t>
            </w:r>
            <w:r>
              <w:rPr>
                <w:position w:val="-6"/>
                <w:sz w:val="24"/>
              </w:rPr>
              <w:object>
                <v:shape id="_x0000_i1030" o:spt="75" type="#_x0000_t75" style="height:13.95pt;width:11pt;" o:ole="t" filled="f" stroked="f" coordsize="21600,21600">
                  <v:path/>
                  <v:fill on="f" focussize="0,0"/>
                  <v:stroke on="f"/>
                  <v:imagedata r:id="rId19" o:title=""/>
                  <o:lock v:ext="edit" aspectratio="t"/>
                  <w10:wrap type="none"/>
                  <w10:anchorlock/>
                </v:shape>
                <o:OLEObject Type="Embed" ProgID="Equation.DSMT4" ShapeID="_x0000_i1030" DrawAspect="Content" ObjectID="_1468075729" r:id="rId18"/>
              </w:object>
            </w:r>
            <w:r>
              <w:rPr>
                <w:sz w:val="24"/>
              </w:rPr>
              <w:t>为坡面的角度，m为经验指数，取0.5。</w:t>
            </w:r>
          </w:p>
          <w:p>
            <w:pPr>
              <w:autoSpaceDE w:val="0"/>
              <w:autoSpaceDN w:val="0"/>
              <w:adjustRightInd w:val="0"/>
              <w:ind w:firstLine="480" w:firstLineChars="200"/>
              <w:jc w:val="left"/>
              <w:rPr>
                <w:kern w:val="0"/>
                <w:sz w:val="24"/>
              </w:rPr>
            </w:pPr>
            <w:r>
              <w:rPr>
                <w:kern w:val="0"/>
                <w:sz w:val="24"/>
              </w:rPr>
              <w:t>将施工前后的土壤侵蚀模数相比，得</w:t>
            </w:r>
          </w:p>
          <w:p>
            <w:pPr>
              <w:autoSpaceDE w:val="0"/>
              <w:autoSpaceDN w:val="0"/>
              <w:adjustRightInd w:val="0"/>
              <w:spacing w:line="360" w:lineRule="auto"/>
              <w:jc w:val="center"/>
              <w:rPr>
                <w:rFonts w:eastAsia="SymbolMT"/>
                <w:kern w:val="0"/>
                <w:sz w:val="24"/>
              </w:rPr>
            </w:pPr>
            <w:r>
              <w:rPr>
                <w:position w:val="-30"/>
                <w:sz w:val="24"/>
              </w:rPr>
              <w:object>
                <v:shape id="_x0000_i1031" o:spt="75" type="#_x0000_t75" style="height:34pt;width:107pt;" o:ole="t" filled="f" stroked="f" coordsize="21600,21600">
                  <v:path/>
                  <v:fill on="f" focussize="0,0"/>
                  <v:stroke on="f"/>
                  <v:imagedata r:id="rId21" o:title=""/>
                  <o:lock v:ext="edit" aspectratio="t"/>
                  <w10:wrap type="none"/>
                  <w10:anchorlock/>
                </v:shape>
                <o:OLEObject Type="Embed" ProgID="Equation.DSMT4" ShapeID="_x0000_i1031" DrawAspect="Content" ObjectID="_1468075730" r:id="rId20"/>
              </w:object>
            </w:r>
          </w:p>
          <w:p>
            <w:pPr>
              <w:autoSpaceDE w:val="0"/>
              <w:autoSpaceDN w:val="0"/>
              <w:adjustRightInd w:val="0"/>
              <w:spacing w:line="360" w:lineRule="auto"/>
              <w:ind w:firstLine="480" w:firstLineChars="200"/>
              <w:jc w:val="left"/>
              <w:rPr>
                <w:kern w:val="0"/>
                <w:sz w:val="24"/>
              </w:rPr>
            </w:pPr>
            <w:r>
              <w:rPr>
                <w:kern w:val="0"/>
                <w:sz w:val="24"/>
              </w:rPr>
              <w:t>其中A</w:t>
            </w:r>
            <w:r>
              <w:rPr>
                <w:kern w:val="0"/>
                <w:sz w:val="24"/>
                <w:vertAlign w:val="subscript"/>
              </w:rPr>
              <w:t>0</w:t>
            </w:r>
            <w:r>
              <w:rPr>
                <w:kern w:val="0"/>
                <w:sz w:val="24"/>
              </w:rPr>
              <w:t>为施工前的土壤侵蚀模数，A为施工期平整场地的土壤侵蚀模数。平整场地时，地表由植被覆盖变为裸露的压实土层，取</w:t>
            </w:r>
            <w:r>
              <w:rPr>
                <w:b/>
                <w:i/>
                <w:sz w:val="24"/>
              </w:rPr>
              <w:t>K</w:t>
            </w:r>
            <w:r>
              <w:rPr>
                <w:kern w:val="0"/>
                <w:sz w:val="24"/>
              </w:rPr>
              <w:t>=</w:t>
            </w:r>
            <w:r>
              <w:rPr>
                <w:b/>
                <w:i/>
                <w:sz w:val="24"/>
              </w:rPr>
              <w:t>K</w:t>
            </w:r>
            <w:r>
              <w:rPr>
                <w:b/>
                <w:i/>
                <w:sz w:val="24"/>
                <w:vertAlign w:val="subscript"/>
              </w:rPr>
              <w:t>0</w:t>
            </w:r>
            <w:r>
              <w:rPr>
                <w:kern w:val="0"/>
                <w:sz w:val="24"/>
              </w:rPr>
              <w:t>、</w:t>
            </w:r>
            <w:r>
              <w:rPr>
                <w:b/>
                <w:i/>
                <w:sz w:val="24"/>
              </w:rPr>
              <w:t>LS</w:t>
            </w:r>
            <w:r>
              <w:rPr>
                <w:kern w:val="0"/>
                <w:sz w:val="24"/>
              </w:rPr>
              <w:t>=</w:t>
            </w:r>
            <w:r>
              <w:rPr>
                <w:b/>
                <w:i/>
                <w:sz w:val="24"/>
              </w:rPr>
              <w:t>LS</w:t>
            </w:r>
            <w:r>
              <w:rPr>
                <w:b/>
                <w:i/>
                <w:sz w:val="24"/>
                <w:vertAlign w:val="subscript"/>
              </w:rPr>
              <w:t>0</w:t>
            </w:r>
            <w:r>
              <w:rPr>
                <w:kern w:val="0"/>
                <w:sz w:val="24"/>
              </w:rPr>
              <w:t>、</w:t>
            </w:r>
            <w:r>
              <w:rPr>
                <w:b/>
                <w:i/>
                <w:sz w:val="24"/>
              </w:rPr>
              <w:t>C</w:t>
            </w:r>
            <w:r>
              <w:rPr>
                <w:kern w:val="0"/>
                <w:sz w:val="24"/>
              </w:rPr>
              <w:t>=1.0、</w:t>
            </w:r>
            <w:r>
              <w:rPr>
                <w:b/>
                <w:i/>
                <w:sz w:val="24"/>
              </w:rPr>
              <w:t>C</w:t>
            </w:r>
            <w:r>
              <w:rPr>
                <w:b/>
                <w:i/>
                <w:sz w:val="24"/>
                <w:vertAlign w:val="subscript"/>
              </w:rPr>
              <w:t>0</w:t>
            </w:r>
            <w:r>
              <w:rPr>
                <w:kern w:val="0"/>
                <w:sz w:val="24"/>
              </w:rPr>
              <w:t>=0.5、</w:t>
            </w:r>
            <w:r>
              <w:rPr>
                <w:b/>
                <w:i/>
                <w:sz w:val="24"/>
              </w:rPr>
              <w:t>P</w:t>
            </w:r>
            <w:r>
              <w:rPr>
                <w:kern w:val="0"/>
                <w:sz w:val="24"/>
              </w:rPr>
              <w:t>=0.7、</w:t>
            </w:r>
            <w:r>
              <w:rPr>
                <w:b/>
                <w:i/>
                <w:sz w:val="24"/>
              </w:rPr>
              <w:t>P</w:t>
            </w:r>
            <w:r>
              <w:rPr>
                <w:b/>
                <w:i/>
                <w:sz w:val="24"/>
                <w:vertAlign w:val="subscript"/>
              </w:rPr>
              <w:t>0</w:t>
            </w:r>
            <w:r>
              <w:rPr>
                <w:kern w:val="0"/>
                <w:sz w:val="24"/>
              </w:rPr>
              <w:t>=0.5，则</w:t>
            </w:r>
            <w:r>
              <w:rPr>
                <w:b/>
                <w:i/>
                <w:sz w:val="24"/>
              </w:rPr>
              <w:t>A/A</w:t>
            </w:r>
            <w:r>
              <w:rPr>
                <w:b/>
                <w:i/>
                <w:sz w:val="24"/>
                <w:vertAlign w:val="subscript"/>
              </w:rPr>
              <w:t>0</w:t>
            </w:r>
            <w:r>
              <w:rPr>
                <w:kern w:val="0"/>
                <w:sz w:val="24"/>
              </w:rPr>
              <w:t>=2.6。</w:t>
            </w:r>
          </w:p>
          <w:p>
            <w:pPr>
              <w:autoSpaceDE w:val="0"/>
              <w:autoSpaceDN w:val="0"/>
              <w:adjustRightInd w:val="0"/>
              <w:spacing w:line="360" w:lineRule="auto"/>
              <w:ind w:firstLine="480" w:firstLineChars="200"/>
              <w:jc w:val="left"/>
              <w:rPr>
                <w:sz w:val="24"/>
              </w:rPr>
            </w:pPr>
            <w:r>
              <w:rPr>
                <w:kern w:val="0"/>
                <w:sz w:val="24"/>
              </w:rPr>
              <w:t>上述结果说明，施工期平整场地时，土地的土壤侵蚀模数将为原来的2.6倍。施工前的土壤侵蚀强度为微度，侵蚀模数＜500，则施工期原地块的侵蚀模数将增加为1100，为轻度侵蚀。本项目施工期水土流失为轻度侵蚀，水土流失的影响较小；施工结束后项目用地地面均为水泥固化地面，不会产生水土流失。</w:t>
            </w:r>
          </w:p>
          <w:p>
            <w:pPr>
              <w:spacing w:line="360" w:lineRule="auto"/>
              <w:ind w:firstLine="480" w:firstLineChars="200"/>
              <w:rPr>
                <w:sz w:val="24"/>
              </w:rPr>
            </w:pPr>
            <w:r>
              <w:rPr>
                <w:sz w:val="24"/>
              </w:rPr>
              <w:t>5、生态环境影响分析</w:t>
            </w:r>
          </w:p>
          <w:p>
            <w:pPr>
              <w:spacing w:line="360" w:lineRule="auto"/>
              <w:ind w:firstLine="480" w:firstLineChars="200"/>
              <w:rPr>
                <w:sz w:val="24"/>
              </w:rPr>
            </w:pPr>
            <w:r>
              <w:rPr>
                <w:sz w:val="24"/>
              </w:rPr>
              <w:t>项目建设用地现状为净地，无自然和人工动植物存在，施工期建设活动对生态的影响主要为地面覆盖层的扰动和水土流失。</w:t>
            </w:r>
          </w:p>
          <w:p>
            <w:pPr>
              <w:spacing w:line="360" w:lineRule="auto"/>
              <w:ind w:firstLine="480" w:firstLineChars="200"/>
              <w:rPr>
                <w:sz w:val="24"/>
              </w:rPr>
            </w:pPr>
            <w:r>
              <w:rPr>
                <w:sz w:val="24"/>
              </w:rPr>
              <w:t>项目施工期拟采取以下防治措施：</w:t>
            </w:r>
          </w:p>
          <w:p>
            <w:pPr>
              <w:spacing w:line="360" w:lineRule="auto"/>
              <w:ind w:firstLine="480" w:firstLineChars="200"/>
              <w:rPr>
                <w:sz w:val="24"/>
              </w:rPr>
            </w:pPr>
            <w:r>
              <w:rPr>
                <w:rFonts w:hint="eastAsia" w:ascii="宋体" w:hAnsi="宋体" w:cs="宋体"/>
                <w:sz w:val="24"/>
              </w:rPr>
              <w:t>⑴</w:t>
            </w:r>
            <w:r>
              <w:rPr>
                <w:sz w:val="24"/>
              </w:rPr>
              <w:t>大风天气、暴雨天气状况下停止施工，并对建筑材料堆场进行遮盖挡雨处理；</w:t>
            </w:r>
          </w:p>
          <w:p>
            <w:pPr>
              <w:spacing w:line="360" w:lineRule="auto"/>
              <w:ind w:firstLine="480" w:firstLineChars="200"/>
              <w:rPr>
                <w:sz w:val="24"/>
              </w:rPr>
            </w:pPr>
            <w:r>
              <w:rPr>
                <w:rFonts w:hint="eastAsia" w:ascii="宋体" w:hAnsi="宋体" w:cs="宋体"/>
                <w:sz w:val="24"/>
              </w:rPr>
              <w:t>⑵</w:t>
            </w:r>
            <w:r>
              <w:rPr>
                <w:sz w:val="24"/>
              </w:rPr>
              <w:t>土石方应统一堆放、及时回填或处理，缩短挖填土石方的堆置时间，避免因长期对方造成大面积水土流失；</w:t>
            </w:r>
          </w:p>
          <w:p>
            <w:pPr>
              <w:spacing w:line="360" w:lineRule="auto"/>
              <w:ind w:firstLine="480" w:firstLineChars="200"/>
              <w:rPr>
                <w:sz w:val="24"/>
              </w:rPr>
            </w:pPr>
            <w:r>
              <w:rPr>
                <w:rFonts w:hint="eastAsia" w:ascii="宋体" w:hAnsi="宋体" w:cs="宋体"/>
                <w:sz w:val="24"/>
              </w:rPr>
              <w:t>⑶</w:t>
            </w:r>
            <w:r>
              <w:rPr>
                <w:sz w:val="24"/>
              </w:rPr>
              <w:t>临时堆放场要设置围墙，做好防护工作，以减少水土流失；</w:t>
            </w:r>
          </w:p>
          <w:p>
            <w:pPr>
              <w:spacing w:line="360" w:lineRule="auto"/>
              <w:ind w:firstLine="480" w:firstLineChars="200"/>
              <w:rPr>
                <w:sz w:val="24"/>
              </w:rPr>
            </w:pPr>
            <w:r>
              <w:rPr>
                <w:rFonts w:hint="eastAsia" w:ascii="宋体" w:hAnsi="宋体" w:cs="宋体"/>
                <w:sz w:val="24"/>
              </w:rPr>
              <w:t>⑷</w:t>
            </w:r>
            <w:r>
              <w:rPr>
                <w:sz w:val="24"/>
              </w:rPr>
              <w:t>经常向裸露地面洒水，使地面保持一定湿度；</w:t>
            </w:r>
          </w:p>
          <w:p>
            <w:pPr>
              <w:spacing w:line="360" w:lineRule="auto"/>
              <w:ind w:firstLine="480" w:firstLineChars="200"/>
              <w:rPr>
                <w:sz w:val="24"/>
              </w:rPr>
            </w:pPr>
            <w:r>
              <w:rPr>
                <w:rFonts w:hint="eastAsia" w:ascii="宋体" w:hAnsi="宋体" w:cs="宋体"/>
                <w:sz w:val="24"/>
              </w:rPr>
              <w:t>⑸</w:t>
            </w:r>
            <w:r>
              <w:rPr>
                <w:sz w:val="24"/>
              </w:rPr>
              <w:t>临时堆放场采取防扬散、防雨淋措施；</w:t>
            </w:r>
          </w:p>
          <w:p>
            <w:pPr>
              <w:spacing w:line="360" w:lineRule="auto"/>
              <w:ind w:firstLine="480" w:firstLineChars="200"/>
              <w:rPr>
                <w:sz w:val="24"/>
              </w:rPr>
            </w:pPr>
            <w:r>
              <w:rPr>
                <w:rFonts w:hint="eastAsia" w:ascii="宋体" w:hAnsi="宋体" w:cs="宋体"/>
                <w:sz w:val="24"/>
              </w:rPr>
              <w:t>⑹</w:t>
            </w:r>
            <w:r>
              <w:rPr>
                <w:sz w:val="24"/>
              </w:rPr>
              <w:t>土方开挖避免雨季施工，采取各项水土流失防范工作。</w:t>
            </w:r>
          </w:p>
          <w:p>
            <w:pPr>
              <w:spacing w:line="360" w:lineRule="auto"/>
              <w:ind w:firstLine="480" w:firstLineChars="200"/>
              <w:rPr>
                <w:sz w:val="24"/>
              </w:rPr>
            </w:pPr>
            <w:r>
              <w:rPr>
                <w:sz w:val="24"/>
              </w:rPr>
              <w:t>本项目用地面积较小，施工期较短，经采取上述有效措施后，项目的建设对生态环境的影响较小。</w:t>
            </w:r>
          </w:p>
          <w:p>
            <w:pPr>
              <w:spacing w:line="360" w:lineRule="auto"/>
              <w:ind w:firstLine="480" w:firstLineChars="200"/>
              <w:rPr>
                <w:sz w:val="24"/>
              </w:rPr>
            </w:pPr>
            <w:r>
              <w:rPr>
                <w:sz w:val="24"/>
              </w:rPr>
              <w:t>6、地下水环境影响分析</w:t>
            </w:r>
          </w:p>
          <w:p>
            <w:pPr>
              <w:spacing w:line="360" w:lineRule="auto"/>
              <w:ind w:firstLine="480" w:firstLineChars="200"/>
              <w:rPr>
                <w:sz w:val="24"/>
              </w:rPr>
            </w:pPr>
            <w:r>
              <w:rPr>
                <w:sz w:val="24"/>
              </w:rPr>
              <w:t>施工期对地下水可能产生影响的主要为基础施工过程中钻桩、打孔过程对地下水的影响。项目施工期拟对地下水保护采取以下防治措施：</w:t>
            </w:r>
          </w:p>
          <w:p>
            <w:pPr>
              <w:spacing w:line="360" w:lineRule="auto"/>
              <w:ind w:firstLine="480" w:firstLineChars="200"/>
              <w:rPr>
                <w:sz w:val="24"/>
              </w:rPr>
            </w:pPr>
            <w:r>
              <w:rPr>
                <w:rFonts w:hint="eastAsia" w:ascii="宋体" w:hAnsi="宋体" w:cs="宋体"/>
                <w:sz w:val="24"/>
              </w:rPr>
              <w:t>⑴</w:t>
            </w:r>
            <w:r>
              <w:rPr>
                <w:sz w:val="24"/>
              </w:rPr>
              <w:t>项目地基施工是对低洼处产生的施工废水及时收集，避免进入地下含水层；</w:t>
            </w:r>
          </w:p>
          <w:p>
            <w:pPr>
              <w:spacing w:line="360" w:lineRule="auto"/>
              <w:ind w:firstLine="480" w:firstLineChars="200"/>
              <w:rPr>
                <w:sz w:val="24"/>
              </w:rPr>
            </w:pPr>
            <w:r>
              <w:rPr>
                <w:rFonts w:hint="eastAsia" w:ascii="宋体" w:hAnsi="宋体" w:cs="宋体"/>
                <w:sz w:val="24"/>
              </w:rPr>
              <w:t>⑵</w:t>
            </w:r>
            <w:r>
              <w:rPr>
                <w:sz w:val="24"/>
              </w:rPr>
              <w:t>项目基础施工应经过正规地质勘探，避免基础施工钻桩、打孔等破外地下水层，致使地面水影响到地下水；</w:t>
            </w:r>
          </w:p>
          <w:p>
            <w:pPr>
              <w:spacing w:line="360" w:lineRule="auto"/>
              <w:ind w:firstLine="480" w:firstLineChars="200"/>
              <w:rPr>
                <w:sz w:val="24"/>
              </w:rPr>
            </w:pPr>
            <w:r>
              <w:rPr>
                <w:rFonts w:hint="eastAsia" w:ascii="宋体" w:hAnsi="宋体" w:cs="宋体"/>
                <w:sz w:val="24"/>
              </w:rPr>
              <w:t>⑶</w:t>
            </w:r>
            <w:r>
              <w:rPr>
                <w:sz w:val="24"/>
              </w:rPr>
              <w:t>基础施工时应采用先进的施工技术，减少对地下含水层的扰动。</w:t>
            </w:r>
          </w:p>
          <w:p>
            <w:pPr>
              <w:spacing w:line="360" w:lineRule="auto"/>
              <w:ind w:firstLine="480" w:firstLineChars="200"/>
              <w:rPr>
                <w:sz w:val="28"/>
              </w:rPr>
            </w:pPr>
            <w:r>
              <w:rPr>
                <w:sz w:val="24"/>
              </w:rPr>
              <w:t>施工废水只要严格管理，不就地排放，对地下水的水质影响很小。对于施工垃圾和生活垃圾实行袋装化处理并及时运走，禁止随便堆放，可有效避免雨淋产生的渗透液对地下水产生的污染。因此施工期建设项目对地下水的影响较小。</w:t>
            </w:r>
          </w:p>
          <w:p>
            <w:pPr>
              <w:autoSpaceDE w:val="0"/>
              <w:autoSpaceDN w:val="0"/>
              <w:adjustRightInd w:val="0"/>
              <w:snapToGrid w:val="0"/>
              <w:spacing w:line="360" w:lineRule="auto"/>
              <w:ind w:firstLine="480" w:firstLineChars="200"/>
              <w:rPr>
                <w:rFonts w:hint="eastAsia"/>
                <w:sz w:val="24"/>
              </w:rPr>
            </w:pPr>
            <w:r>
              <w:rPr>
                <w:sz w:val="24"/>
              </w:rPr>
              <w:t>综上所述，施工期的废气、废水、噪声、固体废物以及挖方等将会对环境产生一定影响，但只要施工单位认真搞好施工组织，文明施工，切实落实上述各项污染防治措施，则在施工期对环境的影响将会减小到最低限量，而且随着施工的结束影响也将会消除。</w:t>
            </w:r>
          </w:p>
          <w:p>
            <w:pPr>
              <w:spacing w:line="360" w:lineRule="auto"/>
              <w:rPr>
                <w:sz w:val="28"/>
              </w:rPr>
            </w:pPr>
            <w:r>
              <w:rPr>
                <w:b/>
                <w:sz w:val="24"/>
                <w:szCs w:val="20"/>
              </w:rPr>
              <w:t>8.2、营运期环境影响分析：</w:t>
            </w:r>
          </w:p>
          <w:p>
            <w:pPr>
              <w:spacing w:line="360" w:lineRule="auto"/>
              <w:ind w:firstLine="482" w:firstLineChars="200"/>
              <w:rPr>
                <w:rFonts w:hint="eastAsia"/>
                <w:b/>
                <w:sz w:val="24"/>
              </w:rPr>
            </w:pPr>
            <w:r>
              <w:rPr>
                <w:b/>
                <w:sz w:val="24"/>
              </w:rPr>
              <w:t>1、大气环境影响分析：</w:t>
            </w:r>
          </w:p>
          <w:p>
            <w:pPr>
              <w:spacing w:line="360" w:lineRule="auto"/>
              <w:ind w:firstLine="480" w:firstLineChars="200"/>
              <w:rPr>
                <w:sz w:val="24"/>
              </w:rPr>
            </w:pPr>
            <w:r>
              <w:rPr>
                <w:sz w:val="24"/>
              </w:rPr>
              <w:t>本项目不设食堂，项目仓储货物为家服装鞋帽、婴儿用品、食品、化妆品、汽车用品、珠宝、书籍、乐器</w:t>
            </w:r>
            <w:r>
              <w:rPr>
                <w:rFonts w:hint="eastAsia"/>
                <w:sz w:val="24"/>
              </w:rPr>
              <w:t>等</w:t>
            </w:r>
            <w:r>
              <w:rPr>
                <w:sz w:val="24"/>
              </w:rPr>
              <w:t>，外包装为纸箱，不易起尘，采取加强绿化和通风措施后，仓库机械通风污风对环境空气影响小。</w:t>
            </w:r>
            <w:r>
              <w:rPr>
                <w:rFonts w:hint="eastAsia"/>
                <w:sz w:val="24"/>
              </w:rPr>
              <w:t>项目研发办公区，主要功能为物流配送研发办公用房，包括物流软件研发，网站维护、数据中心及资料库，无工业生产且不设食堂。</w:t>
            </w:r>
          </w:p>
          <w:p>
            <w:pPr>
              <w:spacing w:line="360" w:lineRule="auto"/>
              <w:ind w:firstLine="480" w:firstLineChars="200"/>
              <w:rPr>
                <w:sz w:val="24"/>
              </w:rPr>
            </w:pPr>
            <w:r>
              <w:rPr>
                <w:sz w:val="24"/>
              </w:rPr>
              <w:t>废气主要来源于地面运输车辆汽车尾气。本项目地面停车场车位</w:t>
            </w:r>
            <w:r>
              <w:rPr>
                <w:rFonts w:hint="eastAsia"/>
                <w:sz w:val="24"/>
              </w:rPr>
              <w:t>527</w:t>
            </w:r>
            <w:r>
              <w:rPr>
                <w:sz w:val="24"/>
              </w:rPr>
              <w:t>个，分散布置于场地内，由于项目场地大气扩散条件好，绿化率高，对汽车尾气有很好的吸收作用，不会对环境空气形成明显污染。</w:t>
            </w:r>
          </w:p>
          <w:p>
            <w:pPr>
              <w:spacing w:line="360" w:lineRule="auto"/>
              <w:ind w:firstLine="480" w:firstLineChars="200"/>
              <w:rPr>
                <w:rFonts w:hint="eastAsia" w:ascii="宋体" w:hAnsi="宋体" w:cs="宋体"/>
                <w:sz w:val="24"/>
              </w:rPr>
            </w:pPr>
            <w:r>
              <w:rPr>
                <w:rFonts w:ascii="宋体" w:hAnsi="宋体" w:cs="宋体"/>
                <w:sz w:val="24"/>
              </w:rPr>
              <w:t>综上，本项目废气污染物经妥善处理后，对所在地周围大气环境无显著影响。</w:t>
            </w:r>
          </w:p>
          <w:p>
            <w:pPr>
              <w:pStyle w:val="17"/>
              <w:adjustRightInd w:val="0"/>
              <w:snapToGrid w:val="0"/>
              <w:spacing w:line="360" w:lineRule="auto"/>
              <w:rPr>
                <w:rFonts w:ascii="Times New Roman" w:hAnsi="Times New Roman"/>
                <w:b/>
                <w:sz w:val="24"/>
              </w:rPr>
            </w:pPr>
            <w:r>
              <w:rPr>
                <w:rFonts w:ascii="Times New Roman" w:hAnsi="Times New Roman"/>
                <w:b/>
                <w:sz w:val="24"/>
              </w:rPr>
              <w:t>2、水环境影响分析：</w:t>
            </w:r>
          </w:p>
          <w:p>
            <w:pPr>
              <w:spacing w:line="360" w:lineRule="auto"/>
              <w:ind w:firstLine="480" w:firstLineChars="200"/>
              <w:rPr>
                <w:rFonts w:hint="eastAsia"/>
                <w:sz w:val="24"/>
              </w:rPr>
            </w:pPr>
            <w:r>
              <w:rPr>
                <w:sz w:val="24"/>
              </w:rPr>
              <w:t>（1）防治措施</w:t>
            </w:r>
          </w:p>
          <w:p>
            <w:pPr>
              <w:spacing w:line="360" w:lineRule="auto"/>
              <w:ind w:firstLine="480" w:firstLineChars="200"/>
              <w:rPr>
                <w:sz w:val="24"/>
              </w:rPr>
            </w:pPr>
            <w:r>
              <w:rPr>
                <w:sz w:val="24"/>
              </w:rPr>
              <w:t>生活污水：本项目员工生活污水</w:t>
            </w:r>
            <w:r>
              <w:rPr>
                <w:rFonts w:hint="eastAsia"/>
                <w:sz w:val="24"/>
              </w:rPr>
              <w:t>经化粪池处理</w:t>
            </w:r>
            <w:r>
              <w:rPr>
                <w:sz w:val="24"/>
              </w:rPr>
              <w:t>，处理后废水由污水排口入城市污水管网，进</w:t>
            </w:r>
            <w:r>
              <w:rPr>
                <w:rFonts w:hint="eastAsia"/>
                <w:sz w:val="24"/>
              </w:rPr>
              <w:t>城南</w:t>
            </w:r>
            <w:r>
              <w:rPr>
                <w:sz w:val="24"/>
              </w:rPr>
              <w:t>污水处理厂，污染物浓度可满足污水处理厂的接管要求。</w:t>
            </w:r>
          </w:p>
          <w:p>
            <w:pPr>
              <w:spacing w:line="360" w:lineRule="auto"/>
              <w:ind w:firstLine="480" w:firstLineChars="200"/>
              <w:rPr>
                <w:rFonts w:hint="eastAsia"/>
                <w:sz w:val="24"/>
              </w:rPr>
            </w:pPr>
            <w:r>
              <w:rPr>
                <w:sz w:val="24"/>
              </w:rPr>
              <w:t>（2）废水水量水质</w:t>
            </w:r>
          </w:p>
          <w:p>
            <w:pPr>
              <w:spacing w:line="360" w:lineRule="auto"/>
              <w:ind w:firstLine="480" w:firstLineChars="200"/>
              <w:rPr>
                <w:sz w:val="24"/>
              </w:rPr>
            </w:pPr>
            <w:r>
              <w:rPr>
                <w:sz w:val="24"/>
              </w:rPr>
              <w:t>本项目</w:t>
            </w:r>
            <w:r>
              <w:rPr>
                <w:rFonts w:hint="eastAsia"/>
                <w:sz w:val="24"/>
              </w:rPr>
              <w:t>实行雨污分流，</w:t>
            </w:r>
            <w:r>
              <w:rPr>
                <w:sz w:val="24"/>
              </w:rPr>
              <w:t>建成后污水排放量</w:t>
            </w:r>
            <w:r>
              <w:rPr>
                <w:rFonts w:hint="eastAsia"/>
                <w:sz w:val="24"/>
              </w:rPr>
              <w:t>26816</w:t>
            </w:r>
            <w:r>
              <w:rPr>
                <w:sz w:val="24"/>
              </w:rPr>
              <w:t>吨/年。本项目污水排放量小，废水中污染因子成分简单，本项目所排污水中所含的主要污染物有COD、SS、NH</w:t>
            </w:r>
            <w:r>
              <w:rPr>
                <w:sz w:val="24"/>
                <w:vertAlign w:val="subscript"/>
              </w:rPr>
              <w:t>3</w:t>
            </w:r>
            <w:r>
              <w:rPr>
                <w:sz w:val="24"/>
              </w:rPr>
              <w:t>-N、TP等，本项目员工生活污水</w:t>
            </w:r>
            <w:r>
              <w:rPr>
                <w:rFonts w:hint="eastAsia"/>
                <w:sz w:val="24"/>
              </w:rPr>
              <w:t>经化粪池处理</w:t>
            </w:r>
            <w:r>
              <w:rPr>
                <w:sz w:val="24"/>
              </w:rPr>
              <w:t>后由污水排口入城市污水管网，进</w:t>
            </w:r>
            <w:r>
              <w:rPr>
                <w:rFonts w:hint="eastAsia"/>
                <w:sz w:val="24"/>
              </w:rPr>
              <w:t>城南</w:t>
            </w:r>
            <w:r>
              <w:rPr>
                <w:sz w:val="24"/>
              </w:rPr>
              <w:t>污水处理厂，其中COD排放量为</w:t>
            </w:r>
            <w:r>
              <w:rPr>
                <w:rFonts w:hint="eastAsia"/>
                <w:sz w:val="24"/>
              </w:rPr>
              <w:t>8.04</w:t>
            </w:r>
            <w:r>
              <w:rPr>
                <w:sz w:val="24"/>
              </w:rPr>
              <w:t>t/a，SS排放量为</w:t>
            </w:r>
            <w:r>
              <w:rPr>
                <w:rFonts w:hint="eastAsia"/>
                <w:sz w:val="24"/>
              </w:rPr>
              <w:t>4.69</w:t>
            </w:r>
            <w:r>
              <w:rPr>
                <w:sz w:val="24"/>
              </w:rPr>
              <w:t>t/a，NH</w:t>
            </w:r>
            <w:r>
              <w:rPr>
                <w:sz w:val="24"/>
                <w:vertAlign w:val="subscript"/>
              </w:rPr>
              <w:t>3</w:t>
            </w:r>
            <w:r>
              <w:rPr>
                <w:sz w:val="24"/>
              </w:rPr>
              <w:t>-N排放量为</w:t>
            </w:r>
            <w:r>
              <w:rPr>
                <w:rFonts w:hint="eastAsia"/>
                <w:sz w:val="24"/>
              </w:rPr>
              <w:t>0.75</w:t>
            </w:r>
            <w:r>
              <w:rPr>
                <w:sz w:val="24"/>
              </w:rPr>
              <w:t>t/a，TP排放量为</w:t>
            </w:r>
            <w:r>
              <w:rPr>
                <w:rFonts w:hint="eastAsia"/>
                <w:sz w:val="24"/>
              </w:rPr>
              <w:t>0.09</w:t>
            </w:r>
            <w:r>
              <w:rPr>
                <w:sz w:val="24"/>
              </w:rPr>
              <w:t>t/a。</w:t>
            </w:r>
          </w:p>
          <w:p>
            <w:pPr>
              <w:spacing w:line="360" w:lineRule="auto"/>
              <w:ind w:firstLine="480" w:firstLineChars="200"/>
              <w:rPr>
                <w:sz w:val="24"/>
              </w:rPr>
            </w:pPr>
            <w:r>
              <w:rPr>
                <w:sz w:val="24"/>
              </w:rPr>
              <w:t>（3）接管可行性分析</w:t>
            </w:r>
          </w:p>
          <w:p>
            <w:pPr>
              <w:spacing w:line="360" w:lineRule="auto"/>
              <w:ind w:firstLine="480" w:firstLineChars="200"/>
              <w:rPr>
                <w:rFonts w:hint="eastAsia"/>
                <w:sz w:val="24"/>
              </w:rPr>
            </w:pPr>
            <w:r>
              <w:rPr>
                <w:rFonts w:hint="eastAsia" w:ascii="宋体" w:hAnsi="宋体"/>
                <w:sz w:val="24"/>
              </w:rPr>
              <w:t>①城南污水处理厂简介</w:t>
            </w:r>
          </w:p>
          <w:p>
            <w:pPr>
              <w:spacing w:line="360" w:lineRule="auto"/>
              <w:ind w:firstLine="480" w:firstLineChars="200"/>
              <w:rPr>
                <w:sz w:val="24"/>
              </w:rPr>
            </w:pPr>
            <w:r>
              <w:rPr>
                <w:sz w:val="24"/>
              </w:rPr>
              <w:t>南京市城南污水处理厂一期工程规模为2.5万m</w:t>
            </w:r>
            <w:r>
              <w:rPr>
                <w:sz w:val="24"/>
                <w:vertAlign w:val="superscript"/>
              </w:rPr>
              <w:t>3</w:t>
            </w:r>
            <w:r>
              <w:rPr>
                <w:sz w:val="24"/>
              </w:rPr>
              <w:t>/d，南京市城南污水处理厂一期工程于2005年由南京市环境保护科学研究所完成《南京雨花经济技术开发区污水处理厂项目（2万m</w:t>
            </w:r>
            <w:r>
              <w:rPr>
                <w:sz w:val="24"/>
                <w:vertAlign w:val="superscript"/>
              </w:rPr>
              <w:t>3</w:t>
            </w:r>
            <w:r>
              <w:rPr>
                <w:sz w:val="24"/>
              </w:rPr>
              <w:t>/d）环境影响报告书》，2006年1月，南京市环境保护局宁政建[2006]4号文对该环评进行了批复。后由于考虑到附近地区发展的要求，南京市雨花经济开发区管委会与南京市城南污水处理厂控股单位南京市自来水总公司向南京市环保局提交了《调整&lt;雨花经济开发区新建日处理“一期2万吨污水”处理工程环境影响报告书批复&gt;请示》，南京市环保局于2007年9月对该请示做出了回复批示，同意该项目按照“请示”中所提，厂址向南侧迁移430米，一期水量由2万m</w:t>
            </w:r>
            <w:r>
              <w:rPr>
                <w:sz w:val="24"/>
                <w:vertAlign w:val="superscript"/>
              </w:rPr>
              <w:t>3</w:t>
            </w:r>
            <w:r>
              <w:rPr>
                <w:sz w:val="24"/>
              </w:rPr>
              <w:t>/d，调整到2.5万m</w:t>
            </w:r>
            <w:r>
              <w:rPr>
                <w:sz w:val="24"/>
                <w:vertAlign w:val="superscript"/>
              </w:rPr>
              <w:t>3</w:t>
            </w:r>
            <w:r>
              <w:rPr>
                <w:sz w:val="24"/>
              </w:rPr>
              <w:t>/d。该项目于2008年12月竣工并投运，于2013年11月30日通过了南京市环保局组织的阶段性竣工验收。目前日进网污水总量约1.2万m</w:t>
            </w:r>
            <w:r>
              <w:rPr>
                <w:sz w:val="24"/>
                <w:vertAlign w:val="superscript"/>
              </w:rPr>
              <w:t>3</w:t>
            </w:r>
            <w:r>
              <w:rPr>
                <w:sz w:val="24"/>
              </w:rPr>
              <w:t>/d，出水水质满足《城镇污水处理厂污染物排放标准》（GB18918-2002）表1中的一级标准B标准。</w:t>
            </w:r>
          </w:p>
          <w:p>
            <w:pPr>
              <w:spacing w:line="360" w:lineRule="auto"/>
              <w:ind w:firstLine="480" w:firstLineChars="200"/>
              <w:rPr>
                <w:rFonts w:hint="eastAsia"/>
                <w:sz w:val="24"/>
              </w:rPr>
            </w:pPr>
            <w:r>
              <w:rPr>
                <w:sz w:val="24"/>
              </w:rPr>
              <w:t>近年来随着板桥新城的快速发展以及岱山保障房的加速建设，城南污水处理厂二期工程扩建工程已启动，规模为2.5万m</w:t>
            </w:r>
            <w:r>
              <w:rPr>
                <w:sz w:val="24"/>
                <w:vertAlign w:val="superscript"/>
              </w:rPr>
              <w:t>3</w:t>
            </w:r>
            <w:r>
              <w:rPr>
                <w:sz w:val="24"/>
              </w:rPr>
              <w:t>/d，出水水质达到一级A 标准及《太湖地区城镇污水处理厂及重点工业行业主要水污染物排放限值》（DB32/1072-2007）表2标准。城南污水处理厂二期工程污水处理工艺如图</w:t>
            </w:r>
            <w:r>
              <w:rPr>
                <w:rFonts w:hint="eastAsia"/>
                <w:sz w:val="24"/>
              </w:rPr>
              <w:t>8</w:t>
            </w:r>
            <w:r>
              <w:rPr>
                <w:sz w:val="24"/>
              </w:rPr>
              <w:t>-1所示。</w:t>
            </w:r>
          </w:p>
          <w:p>
            <w:pPr>
              <w:adjustRightInd w:val="0"/>
              <w:snapToGrid w:val="0"/>
              <w:spacing w:line="360" w:lineRule="auto"/>
              <w:ind w:firstLine="480" w:firstLineChars="200"/>
              <w:rPr>
                <w:rFonts w:hint="eastAsia"/>
                <w:sz w:val="24"/>
              </w:rPr>
            </w:pPr>
            <w:r>
              <w:rPr>
                <w:kern w:val="0"/>
                <w:sz w:val="24"/>
              </w:rPr>
              <w:drawing>
                <wp:inline distT="0" distB="0" distL="114300" distR="114300">
                  <wp:extent cx="4830445" cy="2951480"/>
                  <wp:effectExtent l="0" t="0" r="635" b="5080"/>
                  <wp:docPr id="2" name="图片 2" descr="QQ图片20150503103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图片20150503103522"/>
                          <pic:cNvPicPr>
                            <a:picLocks noChangeAspect="1"/>
                          </pic:cNvPicPr>
                        </pic:nvPicPr>
                        <pic:blipFill>
                          <a:blip r:embed="rId22"/>
                          <a:srcRect/>
                          <a:stretch>
                            <a:fillRect/>
                          </a:stretch>
                        </pic:blipFill>
                        <pic:spPr>
                          <a:xfrm>
                            <a:off x="0" y="0"/>
                            <a:ext cx="4830445" cy="2951480"/>
                          </a:xfrm>
                          <a:prstGeom prst="rect">
                            <a:avLst/>
                          </a:prstGeom>
                          <a:noFill/>
                          <a:ln w="9525">
                            <a:noFill/>
                            <a:miter/>
                          </a:ln>
                        </pic:spPr>
                      </pic:pic>
                    </a:graphicData>
                  </a:graphic>
                </wp:inline>
              </w:drawing>
            </w:r>
          </w:p>
          <w:p>
            <w:pPr>
              <w:pStyle w:val="19"/>
              <w:adjustRightInd w:val="0"/>
              <w:snapToGrid w:val="0"/>
              <w:spacing w:before="78" w:beforeLines="25" w:after="78" w:afterLines="25" w:line="240" w:lineRule="auto"/>
              <w:ind w:left="0" w:leftChars="0"/>
              <w:jc w:val="center"/>
              <w:rPr>
                <w:b/>
              </w:rPr>
            </w:pPr>
            <w:r>
              <w:rPr>
                <w:b/>
              </w:rPr>
              <w:t xml:space="preserve">图 </w:t>
            </w:r>
            <w:r>
              <w:rPr>
                <w:rFonts w:hint="eastAsia"/>
                <w:b/>
              </w:rPr>
              <w:t>8</w:t>
            </w:r>
            <w:r>
              <w:rPr>
                <w:b/>
              </w:rPr>
              <w:t>-1  城南污水处理厂工艺流程</w:t>
            </w:r>
          </w:p>
          <w:p>
            <w:pPr>
              <w:spacing w:line="360" w:lineRule="auto"/>
              <w:ind w:firstLine="480" w:firstLineChars="200"/>
              <w:jc w:val="left"/>
              <w:rPr>
                <w:rFonts w:hint="eastAsia" w:hAnsi="宋体"/>
                <w:sz w:val="24"/>
              </w:rPr>
            </w:pPr>
            <w:r>
              <w:rPr>
                <w:rFonts w:hint="eastAsia" w:ascii="宋体" w:hAnsi="宋体"/>
                <w:sz w:val="24"/>
              </w:rPr>
              <w:t>②水量接管可行性分析</w:t>
            </w:r>
          </w:p>
          <w:p>
            <w:pPr>
              <w:spacing w:line="360" w:lineRule="auto"/>
              <w:ind w:firstLine="480" w:firstLineChars="200"/>
              <w:jc w:val="left"/>
              <w:rPr>
                <w:rFonts w:hAnsi="宋体"/>
                <w:sz w:val="24"/>
              </w:rPr>
            </w:pPr>
            <w:r>
              <w:rPr>
                <w:rFonts w:hAnsi="宋体"/>
                <w:sz w:val="24"/>
              </w:rPr>
              <w:t>项目废水经化粪池处理达到</w:t>
            </w:r>
            <w:r>
              <w:rPr>
                <w:rFonts w:hint="eastAsia" w:hAnsi="宋体"/>
                <w:sz w:val="24"/>
              </w:rPr>
              <w:t>城南污水处理厂</w:t>
            </w:r>
            <w:r>
              <w:rPr>
                <w:rFonts w:hAnsi="宋体"/>
                <w:sz w:val="24"/>
              </w:rPr>
              <w:t>的接管标准后排入污水处理厂，本项目废水量约</w:t>
            </w:r>
            <w:r>
              <w:rPr>
                <w:rFonts w:hint="eastAsia"/>
                <w:sz w:val="24"/>
              </w:rPr>
              <w:t>26816</w:t>
            </w:r>
            <w:r>
              <w:rPr>
                <w:sz w:val="24"/>
              </w:rPr>
              <w:t>t/a（</w:t>
            </w:r>
            <w:r>
              <w:rPr>
                <w:rFonts w:hint="eastAsia"/>
                <w:sz w:val="24"/>
              </w:rPr>
              <w:t>73.5</w:t>
            </w:r>
            <w:r>
              <w:rPr>
                <w:sz w:val="24"/>
              </w:rPr>
              <w:t>t/d）</w:t>
            </w:r>
            <w:r>
              <w:rPr>
                <w:rFonts w:hAnsi="宋体"/>
                <w:sz w:val="24"/>
              </w:rPr>
              <w:t>，</w:t>
            </w:r>
            <w:r>
              <w:rPr>
                <w:sz w:val="24"/>
              </w:rPr>
              <w:t>约占</w:t>
            </w:r>
            <w:r>
              <w:rPr>
                <w:rFonts w:hint="eastAsia"/>
                <w:sz w:val="24"/>
              </w:rPr>
              <w:t>创源污水处理有限公司污水处理厂</w:t>
            </w:r>
            <w:r>
              <w:rPr>
                <w:sz w:val="24"/>
              </w:rPr>
              <w:t>处理规模的</w:t>
            </w:r>
            <w:r>
              <w:rPr>
                <w:rFonts w:hint="eastAsia"/>
                <w:sz w:val="24"/>
              </w:rPr>
              <w:t>0.29%，</w:t>
            </w:r>
            <w:r>
              <w:rPr>
                <w:rFonts w:hAnsi="宋体"/>
                <w:sz w:val="24"/>
              </w:rPr>
              <w:t>能够保证本项目生活污水的全部接纳和完善处理，即建设项目废水处于</w:t>
            </w:r>
            <w:r>
              <w:rPr>
                <w:rFonts w:hint="eastAsia" w:hAnsi="宋体"/>
                <w:sz w:val="24"/>
              </w:rPr>
              <w:t>城南污水处理厂</w:t>
            </w:r>
            <w:r>
              <w:rPr>
                <w:rFonts w:hAnsi="宋体"/>
                <w:sz w:val="24"/>
              </w:rPr>
              <w:t>的接管能力和处理能力范围内，对污水处理厂的正常运行产生冲击不大。因此对于项目产生的废水，从水量角度分析，能达到</w:t>
            </w:r>
            <w:r>
              <w:rPr>
                <w:rFonts w:hint="eastAsia" w:hAnsi="宋体"/>
                <w:sz w:val="24"/>
              </w:rPr>
              <w:t>城南</w:t>
            </w:r>
            <w:r>
              <w:rPr>
                <w:rFonts w:hAnsi="宋体"/>
                <w:sz w:val="24"/>
              </w:rPr>
              <w:t>污水处理厂的接纳要求</w:t>
            </w:r>
            <w:r>
              <w:rPr>
                <w:rFonts w:hint="eastAsia" w:hAnsi="宋体"/>
                <w:sz w:val="24"/>
              </w:rPr>
              <w:t>。</w:t>
            </w:r>
            <w:r>
              <w:rPr>
                <w:sz w:val="24"/>
              </w:rPr>
              <w:t xml:space="preserve"> </w:t>
            </w:r>
          </w:p>
          <w:p>
            <w:pPr>
              <w:spacing w:line="360" w:lineRule="auto"/>
              <w:ind w:firstLine="480" w:firstLineChars="200"/>
              <w:jc w:val="left"/>
              <w:rPr>
                <w:rFonts w:hint="eastAsia" w:hAnsi="宋体"/>
                <w:sz w:val="24"/>
              </w:rPr>
            </w:pPr>
            <w:r>
              <w:rPr>
                <w:rFonts w:hint="eastAsia" w:ascii="宋体" w:hAnsi="宋体"/>
                <w:sz w:val="24"/>
              </w:rPr>
              <w:t>③</w:t>
            </w:r>
            <w:r>
              <w:rPr>
                <w:rFonts w:hint="eastAsia" w:hAnsi="宋体"/>
                <w:sz w:val="24"/>
              </w:rPr>
              <w:t>水质接管可行性分析</w:t>
            </w:r>
          </w:p>
          <w:p>
            <w:pPr>
              <w:spacing w:line="360" w:lineRule="auto"/>
              <w:ind w:firstLine="480" w:firstLineChars="200"/>
              <w:jc w:val="left"/>
              <w:rPr>
                <w:rFonts w:hint="eastAsia" w:hAnsi="宋体"/>
                <w:sz w:val="24"/>
              </w:rPr>
            </w:pPr>
            <w:r>
              <w:rPr>
                <w:rFonts w:hAnsi="宋体"/>
                <w:sz w:val="24"/>
              </w:rPr>
              <w:t>项目废水经预处理</w:t>
            </w:r>
            <w:r>
              <w:rPr>
                <w:rFonts w:hint="eastAsia" w:hAnsi="宋体"/>
                <w:sz w:val="24"/>
              </w:rPr>
              <w:t>后，</w:t>
            </w:r>
            <w:r>
              <w:rPr>
                <w:rFonts w:hAnsi="宋体"/>
                <w:sz w:val="24"/>
              </w:rPr>
              <w:t>污水各指标均可达到</w:t>
            </w:r>
            <w:r>
              <w:rPr>
                <w:rFonts w:hint="eastAsia" w:hAnsi="宋体"/>
                <w:sz w:val="24"/>
              </w:rPr>
              <w:t>城南污水处理厂</w:t>
            </w:r>
            <w:r>
              <w:rPr>
                <w:rFonts w:hAnsi="宋体"/>
                <w:sz w:val="24"/>
              </w:rPr>
              <w:t>接管标准，</w:t>
            </w:r>
            <w:r>
              <w:rPr>
                <w:rFonts w:hint="eastAsia" w:hAnsi="宋体"/>
                <w:sz w:val="24"/>
              </w:rPr>
              <w:t>且项目污水</w:t>
            </w:r>
            <w:r>
              <w:rPr>
                <w:rFonts w:hAnsi="宋体"/>
                <w:sz w:val="24"/>
              </w:rPr>
              <w:t>可生化性好，因此本项目废水经预处理后接入</w:t>
            </w:r>
            <w:r>
              <w:rPr>
                <w:rFonts w:hint="eastAsia" w:hAnsi="宋体"/>
                <w:sz w:val="24"/>
              </w:rPr>
              <w:t>城南污水处理厂</w:t>
            </w:r>
            <w:r>
              <w:rPr>
                <w:rFonts w:hAnsi="宋体"/>
                <w:sz w:val="24"/>
              </w:rPr>
              <w:t>集中处理，从水质角度考虑是可行的。</w:t>
            </w:r>
          </w:p>
          <w:p>
            <w:pPr>
              <w:spacing w:line="360" w:lineRule="auto"/>
              <w:ind w:firstLine="480" w:firstLineChars="200"/>
              <w:jc w:val="left"/>
              <w:rPr>
                <w:rFonts w:hint="eastAsia" w:hAnsi="宋体"/>
                <w:sz w:val="24"/>
              </w:rPr>
            </w:pPr>
            <w:r>
              <w:rPr>
                <w:rFonts w:hint="eastAsia" w:ascii="宋体" w:hAnsi="宋体"/>
                <w:sz w:val="24"/>
              </w:rPr>
              <w:t>④</w:t>
            </w:r>
            <w:r>
              <w:rPr>
                <w:rFonts w:hint="eastAsia" w:hAnsi="宋体"/>
                <w:sz w:val="24"/>
              </w:rPr>
              <w:t>管网铺设、</w:t>
            </w:r>
            <w:r>
              <w:rPr>
                <w:rFonts w:hAnsi="宋体"/>
                <w:sz w:val="24"/>
              </w:rPr>
              <w:t>接管时间</w:t>
            </w:r>
            <w:r>
              <w:rPr>
                <w:rFonts w:hint="eastAsia" w:hAnsi="宋体"/>
                <w:sz w:val="24"/>
              </w:rPr>
              <w:t>分析</w:t>
            </w:r>
          </w:p>
          <w:p>
            <w:pPr>
              <w:spacing w:line="360" w:lineRule="auto"/>
              <w:ind w:firstLine="480" w:firstLineChars="200"/>
              <w:jc w:val="left"/>
              <w:rPr>
                <w:rFonts w:hAnsi="宋体"/>
                <w:sz w:val="24"/>
              </w:rPr>
            </w:pPr>
            <w:r>
              <w:rPr>
                <w:rFonts w:hAnsi="宋体"/>
                <w:sz w:val="24"/>
              </w:rPr>
              <w:t>建设项目采用雨污分流制，污水经预处理后接入</w:t>
            </w:r>
            <w:r>
              <w:rPr>
                <w:rFonts w:hint="eastAsia" w:hAnsi="宋体"/>
                <w:sz w:val="24"/>
              </w:rPr>
              <w:t>项目北侧的龙藏大道</w:t>
            </w:r>
            <w:r>
              <w:rPr>
                <w:rFonts w:hAnsi="宋体"/>
                <w:sz w:val="24"/>
              </w:rPr>
              <w:t>污水管网，</w:t>
            </w:r>
            <w:r>
              <w:rPr>
                <w:rFonts w:hint="eastAsia" w:hAnsi="宋体"/>
                <w:sz w:val="24"/>
              </w:rPr>
              <w:t>龙藏大道污水管网已敷设到位，</w:t>
            </w:r>
            <w:r>
              <w:rPr>
                <w:rFonts w:hAnsi="宋体"/>
                <w:sz w:val="24"/>
              </w:rPr>
              <w:t>无需设置提升泵。</w:t>
            </w:r>
          </w:p>
          <w:p>
            <w:pPr>
              <w:spacing w:line="360" w:lineRule="auto"/>
              <w:ind w:firstLine="480" w:firstLineChars="200"/>
              <w:jc w:val="left"/>
              <w:rPr>
                <w:sz w:val="24"/>
              </w:rPr>
            </w:pPr>
            <w:r>
              <w:rPr>
                <w:sz w:val="24"/>
              </w:rPr>
              <w:t>综上所述，</w:t>
            </w:r>
            <w:r>
              <w:rPr>
                <w:rFonts w:hint="eastAsia"/>
                <w:sz w:val="24"/>
              </w:rPr>
              <w:t>本项目</w:t>
            </w:r>
            <w:r>
              <w:rPr>
                <w:sz w:val="24"/>
              </w:rPr>
              <w:t>从水质、水量、</w:t>
            </w:r>
            <w:r>
              <w:rPr>
                <w:rFonts w:hint="eastAsia"/>
                <w:sz w:val="24"/>
              </w:rPr>
              <w:t>管网敷设、污水处理厂运行时间</w:t>
            </w:r>
            <w:r>
              <w:rPr>
                <w:sz w:val="24"/>
              </w:rPr>
              <w:t>等方面来看，本项目营运期产生的污水</w:t>
            </w:r>
            <w:r>
              <w:rPr>
                <w:rFonts w:hAnsi="宋体"/>
                <w:sz w:val="24"/>
              </w:rPr>
              <w:t>接管</w:t>
            </w:r>
            <w:r>
              <w:rPr>
                <w:rFonts w:hint="eastAsia" w:hAnsi="宋体"/>
                <w:sz w:val="24"/>
              </w:rPr>
              <w:t>城南污水处理厂集中处理的</w:t>
            </w:r>
            <w:r>
              <w:rPr>
                <w:sz w:val="24"/>
              </w:rPr>
              <w:t>是可行的。</w:t>
            </w:r>
          </w:p>
          <w:p>
            <w:pPr>
              <w:tabs>
                <w:tab w:val="left" w:pos="6920"/>
              </w:tabs>
              <w:spacing w:line="360" w:lineRule="auto"/>
              <w:ind w:firstLine="480" w:firstLineChars="200"/>
              <w:rPr>
                <w:sz w:val="24"/>
              </w:rPr>
            </w:pPr>
            <w:r>
              <w:rPr>
                <w:sz w:val="24"/>
              </w:rPr>
              <w:t>（4）环境影响分析</w:t>
            </w:r>
          </w:p>
          <w:p>
            <w:pPr>
              <w:spacing w:line="360" w:lineRule="auto"/>
              <w:ind w:firstLine="480" w:firstLineChars="200"/>
              <w:rPr>
                <w:kern w:val="0"/>
                <w:sz w:val="24"/>
              </w:rPr>
            </w:pPr>
            <w:r>
              <w:rPr>
                <w:sz w:val="24"/>
              </w:rPr>
              <w:t>本项目废水经</w:t>
            </w:r>
            <w:r>
              <w:rPr>
                <w:rFonts w:hint="eastAsia"/>
                <w:sz w:val="24"/>
              </w:rPr>
              <w:t>城南</w:t>
            </w:r>
            <w:r>
              <w:rPr>
                <w:sz w:val="24"/>
              </w:rPr>
              <w:t>污水处理厂处理达《城镇污水处理厂污染物排放标准》（GB18918-2002）中的一级A标准后排放，主要污染物最终排放浓度分别为COD50mg/L、SS10mg/L、氨氮5mg/L、总磷0.5mg/L，污染物排放量分别为：COD</w:t>
            </w:r>
            <w:r>
              <w:rPr>
                <w:rFonts w:hint="eastAsia"/>
                <w:sz w:val="24"/>
              </w:rPr>
              <w:t xml:space="preserve"> 1.34</w:t>
            </w:r>
            <w:r>
              <w:rPr>
                <w:sz w:val="24"/>
              </w:rPr>
              <w:t>t/a，SS</w:t>
            </w:r>
            <w:r>
              <w:rPr>
                <w:rFonts w:hint="eastAsia"/>
                <w:sz w:val="24"/>
              </w:rPr>
              <w:t xml:space="preserve"> 0.27</w:t>
            </w:r>
            <w:r>
              <w:rPr>
                <w:sz w:val="24"/>
              </w:rPr>
              <w:t>t/a，NH</w:t>
            </w:r>
            <w:r>
              <w:rPr>
                <w:sz w:val="24"/>
                <w:vertAlign w:val="subscript"/>
              </w:rPr>
              <w:t>3</w:t>
            </w:r>
            <w:r>
              <w:rPr>
                <w:sz w:val="24"/>
              </w:rPr>
              <w:t>-N 0.</w:t>
            </w:r>
            <w:r>
              <w:rPr>
                <w:rFonts w:hint="eastAsia"/>
                <w:sz w:val="24"/>
              </w:rPr>
              <w:t>13</w:t>
            </w:r>
            <w:r>
              <w:rPr>
                <w:sz w:val="24"/>
              </w:rPr>
              <w:t>t/a，TP 0.</w:t>
            </w:r>
            <w:r>
              <w:rPr>
                <w:rFonts w:hint="eastAsia"/>
                <w:sz w:val="24"/>
              </w:rPr>
              <w:t>013</w:t>
            </w:r>
            <w:r>
              <w:rPr>
                <w:sz w:val="24"/>
              </w:rPr>
              <w:t>t/a。本</w:t>
            </w:r>
            <w:r>
              <w:rPr>
                <w:kern w:val="0"/>
                <w:sz w:val="24"/>
              </w:rPr>
              <w:t>项目废水污染物最终排放量较少，经</w:t>
            </w:r>
            <w:r>
              <w:rPr>
                <w:rFonts w:hint="eastAsia"/>
                <w:sz w:val="24"/>
              </w:rPr>
              <w:t>城南</w:t>
            </w:r>
            <w:r>
              <w:rPr>
                <w:kern w:val="0"/>
                <w:sz w:val="24"/>
              </w:rPr>
              <w:t>污水处理厂处理后达标排放，对纳污水体</w:t>
            </w:r>
            <w:r>
              <w:rPr>
                <w:rFonts w:hint="eastAsia"/>
                <w:kern w:val="0"/>
                <w:sz w:val="24"/>
              </w:rPr>
              <w:t>长江</w:t>
            </w:r>
            <w:r>
              <w:rPr>
                <w:kern w:val="0"/>
                <w:sz w:val="24"/>
              </w:rPr>
              <w:t>无显著影响。</w:t>
            </w:r>
          </w:p>
          <w:p>
            <w:pPr>
              <w:tabs>
                <w:tab w:val="left" w:pos="6920"/>
              </w:tabs>
              <w:spacing w:line="360" w:lineRule="auto"/>
              <w:rPr>
                <w:b/>
                <w:sz w:val="24"/>
              </w:rPr>
            </w:pPr>
            <w:r>
              <w:rPr>
                <w:rFonts w:hint="eastAsia"/>
                <w:b/>
                <w:sz w:val="24"/>
              </w:rPr>
              <w:t>3</w:t>
            </w:r>
            <w:r>
              <w:rPr>
                <w:b/>
                <w:sz w:val="24"/>
              </w:rPr>
              <w:t>、噪声影响分析：</w:t>
            </w:r>
          </w:p>
          <w:p>
            <w:pPr>
              <w:spacing w:line="360" w:lineRule="auto"/>
              <w:ind w:firstLine="480" w:firstLineChars="200"/>
              <w:rPr>
                <w:sz w:val="24"/>
              </w:rPr>
            </w:pPr>
            <w:r>
              <w:rPr>
                <w:rFonts w:hint="eastAsia"/>
                <w:sz w:val="24"/>
              </w:rPr>
              <w:t>项目营运期主要噪声设备包括仓库机械通风设备、地面运输车辆、叉车、水泵等，其噪声源的声压级范围在</w:t>
            </w:r>
            <w:r>
              <w:rPr>
                <w:sz w:val="24"/>
              </w:rPr>
              <w:t>60~90dB(A)</w:t>
            </w:r>
            <w:r>
              <w:rPr>
                <w:rFonts w:hint="eastAsia"/>
                <w:sz w:val="24"/>
              </w:rPr>
              <w:t>之间，主要噪声源位于室内。优先选用低噪声设备，对噪声大的设备采取减振、吸声及消声等降噪措施。同时通过合理布设汽车行驶路线，严格控制货物搬运时间。使企业厂界噪声达到</w:t>
            </w:r>
            <w:r>
              <w:rPr>
                <w:sz w:val="24"/>
              </w:rPr>
              <w:t>GB12348</w:t>
            </w:r>
            <w:r>
              <w:rPr>
                <w:rFonts w:hint="eastAsia"/>
                <w:sz w:val="24"/>
              </w:rPr>
              <w:t>－</w:t>
            </w:r>
            <w:r>
              <w:rPr>
                <w:sz w:val="24"/>
              </w:rPr>
              <w:t>2008</w:t>
            </w:r>
            <w:r>
              <w:rPr>
                <w:rFonts w:hint="eastAsia"/>
                <w:sz w:val="24"/>
              </w:rPr>
              <w:t>《工业企业厂界环境噪声排放标准》3</w:t>
            </w:r>
            <w:r>
              <w:rPr>
                <w:sz w:val="24"/>
              </w:rPr>
              <w:t xml:space="preserve"> </w:t>
            </w:r>
            <w:r>
              <w:rPr>
                <w:rFonts w:hint="eastAsia"/>
                <w:sz w:val="24"/>
              </w:rPr>
              <w:t>类、4类要求。同时加强项目内部及周边绿化，进出项目区的运输车辆禁止鸣号、减速慢行，采取以上噪声控制措施后，项目设备噪声及运输车辆噪声对项目区域声环境影响小。</w:t>
            </w:r>
          </w:p>
          <w:p>
            <w:pPr>
              <w:tabs>
                <w:tab w:val="left" w:pos="6920"/>
              </w:tabs>
              <w:spacing w:line="360" w:lineRule="auto"/>
              <w:rPr>
                <w:b/>
                <w:sz w:val="24"/>
              </w:rPr>
            </w:pPr>
            <w:r>
              <w:rPr>
                <w:rFonts w:hint="eastAsia"/>
                <w:b/>
                <w:sz w:val="24"/>
              </w:rPr>
              <w:t>4</w:t>
            </w:r>
            <w:r>
              <w:rPr>
                <w:b/>
                <w:sz w:val="24"/>
              </w:rPr>
              <w:t>、固体废物环境影响分析：</w:t>
            </w:r>
          </w:p>
          <w:p>
            <w:pPr>
              <w:adjustRightInd w:val="0"/>
              <w:snapToGrid w:val="0"/>
              <w:ind w:firstLine="442" w:firstLineChars="200"/>
              <w:jc w:val="center"/>
              <w:rPr>
                <w:b/>
                <w:snapToGrid w:val="0"/>
                <w:kern w:val="0"/>
                <w:sz w:val="22"/>
              </w:rPr>
            </w:pPr>
            <w:r>
              <w:rPr>
                <w:b/>
                <w:snapToGrid w:val="0"/>
                <w:kern w:val="0"/>
                <w:sz w:val="22"/>
              </w:rPr>
              <w:t>表</w:t>
            </w:r>
            <w:r>
              <w:rPr>
                <w:rFonts w:hint="eastAsia"/>
                <w:b/>
                <w:snapToGrid w:val="0"/>
                <w:kern w:val="0"/>
                <w:sz w:val="22"/>
              </w:rPr>
              <w:t xml:space="preserve">8-1  </w:t>
            </w:r>
            <w:r>
              <w:rPr>
                <w:b/>
                <w:snapToGrid w:val="0"/>
                <w:kern w:val="0"/>
                <w:sz w:val="22"/>
              </w:rPr>
              <w:t xml:space="preserve"> 建设项目固体废物利用处置方式评价表</w:t>
            </w:r>
          </w:p>
          <w:tbl>
            <w:tblPr>
              <w:tblStyle w:val="33"/>
              <w:tblW w:w="8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
              <w:gridCol w:w="1316"/>
              <w:gridCol w:w="1063"/>
              <w:gridCol w:w="1331"/>
              <w:gridCol w:w="799"/>
              <w:gridCol w:w="873"/>
              <w:gridCol w:w="1204"/>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 w:type="dxa"/>
                  <w:shd w:val="clear" w:color="auto" w:fill="auto"/>
                  <w:vAlign w:val="center"/>
                </w:tcPr>
                <w:p>
                  <w:pPr>
                    <w:jc w:val="center"/>
                    <w:rPr>
                      <w:szCs w:val="21"/>
                    </w:rPr>
                  </w:pPr>
                  <w:r>
                    <w:rPr>
                      <w:szCs w:val="21"/>
                    </w:rPr>
                    <w:t>序号</w:t>
                  </w:r>
                </w:p>
              </w:tc>
              <w:tc>
                <w:tcPr>
                  <w:tcW w:w="1316" w:type="dxa"/>
                  <w:shd w:val="clear" w:color="auto" w:fill="auto"/>
                  <w:vAlign w:val="center"/>
                </w:tcPr>
                <w:p>
                  <w:pPr>
                    <w:jc w:val="center"/>
                    <w:rPr>
                      <w:szCs w:val="21"/>
                    </w:rPr>
                  </w:pPr>
                  <w:r>
                    <w:rPr>
                      <w:szCs w:val="21"/>
                    </w:rPr>
                    <w:t>固废名称</w:t>
                  </w:r>
                </w:p>
              </w:tc>
              <w:tc>
                <w:tcPr>
                  <w:tcW w:w="1063" w:type="dxa"/>
                  <w:shd w:val="clear" w:color="auto" w:fill="auto"/>
                  <w:vAlign w:val="center"/>
                </w:tcPr>
                <w:p>
                  <w:pPr>
                    <w:jc w:val="center"/>
                    <w:rPr>
                      <w:szCs w:val="21"/>
                    </w:rPr>
                  </w:pPr>
                  <w:r>
                    <w:rPr>
                      <w:szCs w:val="21"/>
                    </w:rPr>
                    <w:t>产生</w:t>
                  </w:r>
                </w:p>
                <w:p>
                  <w:pPr>
                    <w:jc w:val="center"/>
                    <w:rPr>
                      <w:szCs w:val="21"/>
                    </w:rPr>
                  </w:pPr>
                  <w:r>
                    <w:rPr>
                      <w:szCs w:val="21"/>
                    </w:rPr>
                    <w:t>工序</w:t>
                  </w:r>
                </w:p>
              </w:tc>
              <w:tc>
                <w:tcPr>
                  <w:tcW w:w="1331" w:type="dxa"/>
                  <w:shd w:val="clear" w:color="auto" w:fill="auto"/>
                  <w:vAlign w:val="center"/>
                </w:tcPr>
                <w:p>
                  <w:pPr>
                    <w:jc w:val="center"/>
                    <w:rPr>
                      <w:szCs w:val="21"/>
                    </w:rPr>
                  </w:pPr>
                  <w:r>
                    <w:rPr>
                      <w:szCs w:val="21"/>
                    </w:rPr>
                    <w:t>属性（危险废物、一般工业固体废物或待鉴别）</w:t>
                  </w:r>
                </w:p>
              </w:tc>
              <w:tc>
                <w:tcPr>
                  <w:tcW w:w="799" w:type="dxa"/>
                  <w:shd w:val="clear" w:color="auto" w:fill="auto"/>
                  <w:vAlign w:val="center"/>
                </w:tcPr>
                <w:p>
                  <w:pPr>
                    <w:jc w:val="center"/>
                    <w:rPr>
                      <w:szCs w:val="21"/>
                    </w:rPr>
                  </w:pPr>
                  <w:r>
                    <w:rPr>
                      <w:szCs w:val="21"/>
                    </w:rPr>
                    <w:t>废物</w:t>
                  </w:r>
                </w:p>
                <w:p>
                  <w:pPr>
                    <w:jc w:val="center"/>
                    <w:rPr>
                      <w:szCs w:val="21"/>
                    </w:rPr>
                  </w:pPr>
                  <w:r>
                    <w:rPr>
                      <w:szCs w:val="21"/>
                    </w:rPr>
                    <w:t>代码</w:t>
                  </w:r>
                </w:p>
              </w:tc>
              <w:tc>
                <w:tcPr>
                  <w:tcW w:w="873" w:type="dxa"/>
                  <w:shd w:val="clear" w:color="auto" w:fill="auto"/>
                  <w:vAlign w:val="center"/>
                </w:tcPr>
                <w:p>
                  <w:pPr>
                    <w:jc w:val="center"/>
                    <w:rPr>
                      <w:szCs w:val="21"/>
                    </w:rPr>
                  </w:pPr>
                  <w:r>
                    <w:rPr>
                      <w:szCs w:val="21"/>
                    </w:rPr>
                    <w:t>产生量（t/a）</w:t>
                  </w:r>
                </w:p>
              </w:tc>
              <w:tc>
                <w:tcPr>
                  <w:tcW w:w="1204" w:type="dxa"/>
                  <w:shd w:val="clear" w:color="auto" w:fill="auto"/>
                  <w:vAlign w:val="center"/>
                </w:tcPr>
                <w:p>
                  <w:pPr>
                    <w:jc w:val="center"/>
                    <w:rPr>
                      <w:rFonts w:hint="eastAsia"/>
                      <w:szCs w:val="21"/>
                    </w:rPr>
                  </w:pPr>
                  <w:r>
                    <w:rPr>
                      <w:szCs w:val="21"/>
                    </w:rPr>
                    <w:t>利用处置</w:t>
                  </w:r>
                </w:p>
                <w:p>
                  <w:pPr>
                    <w:jc w:val="center"/>
                    <w:rPr>
                      <w:szCs w:val="21"/>
                    </w:rPr>
                  </w:pPr>
                  <w:r>
                    <w:rPr>
                      <w:szCs w:val="21"/>
                    </w:rPr>
                    <w:t>方式</w:t>
                  </w:r>
                </w:p>
              </w:tc>
              <w:tc>
                <w:tcPr>
                  <w:tcW w:w="1442" w:type="dxa"/>
                  <w:shd w:val="clear" w:color="auto" w:fill="auto"/>
                  <w:vAlign w:val="center"/>
                </w:tcPr>
                <w:p>
                  <w:pPr>
                    <w:jc w:val="center"/>
                    <w:rPr>
                      <w:szCs w:val="21"/>
                    </w:rPr>
                  </w:pPr>
                  <w:r>
                    <w:rPr>
                      <w:szCs w:val="21"/>
                    </w:rPr>
                    <w:t>利用处置单位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 w:type="dxa"/>
                  <w:shd w:val="clear" w:color="auto" w:fill="auto"/>
                  <w:vAlign w:val="center"/>
                </w:tcPr>
                <w:p>
                  <w:pPr>
                    <w:spacing w:line="280" w:lineRule="exact"/>
                    <w:jc w:val="center"/>
                    <w:rPr>
                      <w:sz w:val="20"/>
                      <w:szCs w:val="21"/>
                    </w:rPr>
                  </w:pPr>
                  <w:r>
                    <w:rPr>
                      <w:sz w:val="20"/>
                      <w:szCs w:val="21"/>
                    </w:rPr>
                    <w:t>1</w:t>
                  </w:r>
                </w:p>
              </w:tc>
              <w:tc>
                <w:tcPr>
                  <w:tcW w:w="1316" w:type="dxa"/>
                  <w:shd w:val="clear" w:color="auto" w:fill="auto"/>
                  <w:vAlign w:val="center"/>
                </w:tcPr>
                <w:p>
                  <w:pPr>
                    <w:spacing w:line="280" w:lineRule="exact"/>
                    <w:jc w:val="center"/>
                    <w:rPr>
                      <w:sz w:val="20"/>
                      <w:szCs w:val="21"/>
                    </w:rPr>
                  </w:pPr>
                  <w:r>
                    <w:rPr>
                      <w:sz w:val="20"/>
                      <w:szCs w:val="21"/>
                    </w:rPr>
                    <w:t>废</w:t>
                  </w:r>
                  <w:r>
                    <w:rPr>
                      <w:rFonts w:hint="eastAsia"/>
                      <w:sz w:val="20"/>
                      <w:szCs w:val="21"/>
                    </w:rPr>
                    <w:t>包装</w:t>
                  </w:r>
                </w:p>
              </w:tc>
              <w:tc>
                <w:tcPr>
                  <w:tcW w:w="1063" w:type="dxa"/>
                  <w:shd w:val="clear" w:color="auto" w:fill="auto"/>
                  <w:vAlign w:val="center"/>
                </w:tcPr>
                <w:p>
                  <w:pPr>
                    <w:spacing w:line="280" w:lineRule="exact"/>
                    <w:jc w:val="center"/>
                    <w:rPr>
                      <w:sz w:val="20"/>
                      <w:szCs w:val="21"/>
                    </w:rPr>
                  </w:pPr>
                  <w:r>
                    <w:rPr>
                      <w:rFonts w:hint="eastAsia"/>
                      <w:sz w:val="20"/>
                      <w:szCs w:val="21"/>
                    </w:rPr>
                    <w:t>分包</w:t>
                  </w:r>
                </w:p>
              </w:tc>
              <w:tc>
                <w:tcPr>
                  <w:tcW w:w="1331" w:type="dxa"/>
                  <w:shd w:val="clear" w:color="auto" w:fill="auto"/>
                  <w:vAlign w:val="center"/>
                </w:tcPr>
                <w:p>
                  <w:pPr>
                    <w:spacing w:line="280" w:lineRule="exact"/>
                    <w:jc w:val="center"/>
                    <w:rPr>
                      <w:sz w:val="20"/>
                      <w:szCs w:val="21"/>
                    </w:rPr>
                  </w:pPr>
                  <w:r>
                    <w:rPr>
                      <w:sz w:val="20"/>
                      <w:szCs w:val="21"/>
                    </w:rPr>
                    <w:t>一般固废</w:t>
                  </w:r>
                </w:p>
              </w:tc>
              <w:tc>
                <w:tcPr>
                  <w:tcW w:w="799" w:type="dxa"/>
                  <w:shd w:val="clear" w:color="auto" w:fill="auto"/>
                  <w:vAlign w:val="center"/>
                </w:tcPr>
                <w:p>
                  <w:pPr>
                    <w:spacing w:line="280" w:lineRule="exact"/>
                    <w:jc w:val="center"/>
                    <w:rPr>
                      <w:sz w:val="20"/>
                      <w:szCs w:val="21"/>
                    </w:rPr>
                  </w:pPr>
                  <w:r>
                    <w:rPr>
                      <w:sz w:val="20"/>
                      <w:szCs w:val="21"/>
                    </w:rPr>
                    <w:t>/</w:t>
                  </w:r>
                </w:p>
              </w:tc>
              <w:tc>
                <w:tcPr>
                  <w:tcW w:w="873" w:type="dxa"/>
                  <w:shd w:val="clear" w:color="auto" w:fill="auto"/>
                  <w:vAlign w:val="center"/>
                </w:tcPr>
                <w:p>
                  <w:pPr>
                    <w:spacing w:line="280" w:lineRule="exact"/>
                    <w:jc w:val="center"/>
                    <w:rPr>
                      <w:sz w:val="20"/>
                      <w:szCs w:val="21"/>
                    </w:rPr>
                  </w:pPr>
                  <w:r>
                    <w:rPr>
                      <w:rFonts w:hint="eastAsia"/>
                      <w:sz w:val="20"/>
                      <w:szCs w:val="21"/>
                    </w:rPr>
                    <w:t>5.8</w:t>
                  </w:r>
                </w:p>
              </w:tc>
              <w:tc>
                <w:tcPr>
                  <w:tcW w:w="1204" w:type="dxa"/>
                  <w:shd w:val="clear" w:color="auto" w:fill="auto"/>
                  <w:vAlign w:val="center"/>
                </w:tcPr>
                <w:p>
                  <w:pPr>
                    <w:pStyle w:val="75"/>
                    <w:ind w:left="-1" w:hanging="16"/>
                    <w:rPr>
                      <w:rFonts w:hint="eastAsia"/>
                      <w:color w:val="auto"/>
                      <w:sz w:val="20"/>
                      <w:lang w:val="en-US" w:eastAsia="zh-CN"/>
                    </w:rPr>
                  </w:pPr>
                  <w:r>
                    <w:rPr>
                      <w:rFonts w:hint="eastAsia"/>
                      <w:color w:val="auto"/>
                      <w:sz w:val="20"/>
                      <w:lang w:val="en-US" w:eastAsia="zh-CN"/>
                    </w:rPr>
                    <w:t>收集后出售</w:t>
                  </w:r>
                </w:p>
              </w:tc>
              <w:tc>
                <w:tcPr>
                  <w:tcW w:w="1442" w:type="dxa"/>
                  <w:shd w:val="clear" w:color="auto" w:fill="auto"/>
                  <w:vAlign w:val="center"/>
                </w:tcPr>
                <w:p>
                  <w:pPr>
                    <w:jc w:val="center"/>
                    <w:rPr>
                      <w:sz w:val="20"/>
                      <w:szCs w:val="21"/>
                    </w:rPr>
                  </w:pPr>
                  <w:r>
                    <w:rPr>
                      <w:rFonts w:hint="eastAsia"/>
                      <w:sz w:val="20"/>
                      <w:szCs w:val="21"/>
                    </w:rPr>
                    <w:t>回收利用单位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 w:type="dxa"/>
                  <w:shd w:val="clear" w:color="auto" w:fill="auto"/>
                  <w:vAlign w:val="center"/>
                </w:tcPr>
                <w:p>
                  <w:pPr>
                    <w:spacing w:line="280" w:lineRule="exact"/>
                    <w:jc w:val="center"/>
                    <w:rPr>
                      <w:sz w:val="20"/>
                      <w:szCs w:val="21"/>
                    </w:rPr>
                  </w:pPr>
                  <w:r>
                    <w:rPr>
                      <w:sz w:val="20"/>
                      <w:szCs w:val="21"/>
                    </w:rPr>
                    <w:t>2</w:t>
                  </w:r>
                </w:p>
              </w:tc>
              <w:tc>
                <w:tcPr>
                  <w:tcW w:w="1316" w:type="dxa"/>
                  <w:shd w:val="clear" w:color="auto" w:fill="auto"/>
                  <w:vAlign w:val="center"/>
                </w:tcPr>
                <w:p>
                  <w:pPr>
                    <w:spacing w:line="280" w:lineRule="exact"/>
                    <w:jc w:val="center"/>
                    <w:rPr>
                      <w:sz w:val="20"/>
                      <w:szCs w:val="21"/>
                    </w:rPr>
                  </w:pPr>
                  <w:r>
                    <w:rPr>
                      <w:sz w:val="20"/>
                      <w:szCs w:val="21"/>
                    </w:rPr>
                    <w:t>生活垃圾</w:t>
                  </w:r>
                </w:p>
              </w:tc>
              <w:tc>
                <w:tcPr>
                  <w:tcW w:w="1063" w:type="dxa"/>
                  <w:shd w:val="clear" w:color="auto" w:fill="auto"/>
                  <w:vAlign w:val="center"/>
                </w:tcPr>
                <w:p>
                  <w:pPr>
                    <w:spacing w:line="280" w:lineRule="exact"/>
                    <w:jc w:val="center"/>
                    <w:rPr>
                      <w:sz w:val="20"/>
                      <w:szCs w:val="21"/>
                    </w:rPr>
                  </w:pPr>
                  <w:r>
                    <w:rPr>
                      <w:sz w:val="20"/>
                      <w:szCs w:val="21"/>
                    </w:rPr>
                    <w:t>日常生活</w:t>
                  </w:r>
                </w:p>
              </w:tc>
              <w:tc>
                <w:tcPr>
                  <w:tcW w:w="1331" w:type="dxa"/>
                  <w:shd w:val="clear" w:color="auto" w:fill="auto"/>
                  <w:vAlign w:val="center"/>
                </w:tcPr>
                <w:p>
                  <w:pPr>
                    <w:spacing w:line="280" w:lineRule="exact"/>
                    <w:jc w:val="center"/>
                    <w:rPr>
                      <w:sz w:val="20"/>
                      <w:szCs w:val="21"/>
                    </w:rPr>
                  </w:pPr>
                  <w:r>
                    <w:rPr>
                      <w:sz w:val="20"/>
                      <w:szCs w:val="21"/>
                    </w:rPr>
                    <w:t>一般固废</w:t>
                  </w:r>
                </w:p>
              </w:tc>
              <w:tc>
                <w:tcPr>
                  <w:tcW w:w="799" w:type="dxa"/>
                  <w:shd w:val="clear" w:color="auto" w:fill="auto"/>
                  <w:vAlign w:val="center"/>
                </w:tcPr>
                <w:p>
                  <w:pPr>
                    <w:spacing w:line="280" w:lineRule="exact"/>
                    <w:jc w:val="center"/>
                    <w:rPr>
                      <w:sz w:val="20"/>
                      <w:szCs w:val="21"/>
                    </w:rPr>
                  </w:pPr>
                  <w:r>
                    <w:rPr>
                      <w:sz w:val="20"/>
                      <w:szCs w:val="21"/>
                    </w:rPr>
                    <w:t>/</w:t>
                  </w:r>
                </w:p>
              </w:tc>
              <w:tc>
                <w:tcPr>
                  <w:tcW w:w="873" w:type="dxa"/>
                  <w:shd w:val="clear" w:color="auto" w:fill="auto"/>
                  <w:vAlign w:val="center"/>
                </w:tcPr>
                <w:p>
                  <w:pPr>
                    <w:spacing w:line="280" w:lineRule="exact"/>
                    <w:jc w:val="center"/>
                    <w:rPr>
                      <w:sz w:val="20"/>
                      <w:szCs w:val="21"/>
                    </w:rPr>
                  </w:pPr>
                  <w:r>
                    <w:rPr>
                      <w:rFonts w:hint="eastAsia"/>
                      <w:sz w:val="20"/>
                      <w:szCs w:val="21"/>
                    </w:rPr>
                    <w:t>125.7</w:t>
                  </w:r>
                </w:p>
              </w:tc>
              <w:tc>
                <w:tcPr>
                  <w:tcW w:w="1204" w:type="dxa"/>
                  <w:shd w:val="clear" w:color="auto" w:fill="auto"/>
                  <w:vAlign w:val="center"/>
                </w:tcPr>
                <w:p>
                  <w:pPr>
                    <w:jc w:val="center"/>
                    <w:rPr>
                      <w:sz w:val="20"/>
                      <w:szCs w:val="21"/>
                    </w:rPr>
                  </w:pPr>
                  <w:r>
                    <w:rPr>
                      <w:sz w:val="20"/>
                      <w:szCs w:val="21"/>
                    </w:rPr>
                    <w:t>环卫部门处理</w:t>
                  </w:r>
                </w:p>
              </w:tc>
              <w:tc>
                <w:tcPr>
                  <w:tcW w:w="1442" w:type="dxa"/>
                  <w:shd w:val="clear" w:color="auto" w:fill="auto"/>
                  <w:vAlign w:val="center"/>
                </w:tcPr>
                <w:p>
                  <w:pPr>
                    <w:jc w:val="center"/>
                    <w:rPr>
                      <w:sz w:val="20"/>
                      <w:szCs w:val="21"/>
                    </w:rPr>
                  </w:pPr>
                  <w:r>
                    <w:rPr>
                      <w:sz w:val="20"/>
                      <w:szCs w:val="21"/>
                    </w:rPr>
                    <w:t>环卫部门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 w:type="dxa"/>
                  <w:shd w:val="clear" w:color="auto" w:fill="auto"/>
                  <w:vAlign w:val="center"/>
                </w:tcPr>
                <w:p>
                  <w:pPr>
                    <w:spacing w:line="280" w:lineRule="exact"/>
                    <w:jc w:val="center"/>
                    <w:rPr>
                      <w:sz w:val="20"/>
                      <w:szCs w:val="21"/>
                    </w:rPr>
                  </w:pPr>
                  <w:r>
                    <w:rPr>
                      <w:rFonts w:hint="eastAsia"/>
                      <w:sz w:val="20"/>
                      <w:szCs w:val="21"/>
                    </w:rPr>
                    <w:t>3</w:t>
                  </w:r>
                </w:p>
              </w:tc>
              <w:tc>
                <w:tcPr>
                  <w:tcW w:w="1316" w:type="dxa"/>
                  <w:shd w:val="clear" w:color="auto" w:fill="auto"/>
                  <w:vAlign w:val="center"/>
                </w:tcPr>
                <w:p>
                  <w:pPr>
                    <w:spacing w:line="280" w:lineRule="exact"/>
                    <w:jc w:val="center"/>
                    <w:rPr>
                      <w:sz w:val="20"/>
                      <w:szCs w:val="21"/>
                    </w:rPr>
                  </w:pPr>
                  <w:r>
                    <w:rPr>
                      <w:rFonts w:hint="eastAsia"/>
                      <w:sz w:val="20"/>
                      <w:szCs w:val="21"/>
                    </w:rPr>
                    <w:t>办公垃圾</w:t>
                  </w:r>
                </w:p>
              </w:tc>
              <w:tc>
                <w:tcPr>
                  <w:tcW w:w="1063" w:type="dxa"/>
                  <w:shd w:val="clear" w:color="auto" w:fill="auto"/>
                  <w:vAlign w:val="center"/>
                </w:tcPr>
                <w:p>
                  <w:pPr>
                    <w:spacing w:line="280" w:lineRule="exact"/>
                    <w:jc w:val="center"/>
                    <w:rPr>
                      <w:sz w:val="20"/>
                      <w:szCs w:val="21"/>
                    </w:rPr>
                  </w:pPr>
                  <w:r>
                    <w:rPr>
                      <w:rFonts w:hint="eastAsia"/>
                      <w:sz w:val="20"/>
                      <w:szCs w:val="21"/>
                    </w:rPr>
                    <w:t>办公</w:t>
                  </w:r>
                </w:p>
              </w:tc>
              <w:tc>
                <w:tcPr>
                  <w:tcW w:w="1331" w:type="dxa"/>
                  <w:shd w:val="clear" w:color="auto" w:fill="auto"/>
                  <w:vAlign w:val="center"/>
                </w:tcPr>
                <w:p>
                  <w:pPr>
                    <w:spacing w:line="280" w:lineRule="exact"/>
                    <w:jc w:val="center"/>
                    <w:rPr>
                      <w:sz w:val="20"/>
                      <w:szCs w:val="21"/>
                    </w:rPr>
                  </w:pPr>
                  <w:r>
                    <w:rPr>
                      <w:rFonts w:hint="eastAsia"/>
                      <w:sz w:val="20"/>
                      <w:szCs w:val="21"/>
                    </w:rPr>
                    <w:t>一般固废</w:t>
                  </w:r>
                </w:p>
              </w:tc>
              <w:tc>
                <w:tcPr>
                  <w:tcW w:w="799" w:type="dxa"/>
                  <w:shd w:val="clear" w:color="auto" w:fill="auto"/>
                  <w:vAlign w:val="center"/>
                </w:tcPr>
                <w:p>
                  <w:pPr>
                    <w:spacing w:line="280" w:lineRule="exact"/>
                    <w:jc w:val="center"/>
                    <w:rPr>
                      <w:sz w:val="20"/>
                      <w:szCs w:val="21"/>
                    </w:rPr>
                  </w:pPr>
                  <w:r>
                    <w:rPr>
                      <w:rFonts w:hint="eastAsia"/>
                      <w:sz w:val="20"/>
                      <w:szCs w:val="21"/>
                    </w:rPr>
                    <w:t>/</w:t>
                  </w:r>
                </w:p>
              </w:tc>
              <w:tc>
                <w:tcPr>
                  <w:tcW w:w="873" w:type="dxa"/>
                  <w:shd w:val="clear" w:color="auto" w:fill="auto"/>
                  <w:vAlign w:val="center"/>
                </w:tcPr>
                <w:p>
                  <w:pPr>
                    <w:spacing w:line="280" w:lineRule="exact"/>
                    <w:jc w:val="center"/>
                    <w:rPr>
                      <w:sz w:val="20"/>
                      <w:szCs w:val="21"/>
                    </w:rPr>
                  </w:pPr>
                  <w:r>
                    <w:rPr>
                      <w:rFonts w:hint="eastAsia"/>
                      <w:sz w:val="20"/>
                      <w:szCs w:val="21"/>
                    </w:rPr>
                    <w:t>0.15</w:t>
                  </w:r>
                </w:p>
              </w:tc>
              <w:tc>
                <w:tcPr>
                  <w:tcW w:w="1204" w:type="dxa"/>
                  <w:shd w:val="clear" w:color="auto" w:fill="auto"/>
                  <w:vAlign w:val="center"/>
                </w:tcPr>
                <w:p>
                  <w:pPr>
                    <w:pStyle w:val="75"/>
                    <w:ind w:left="-1" w:hanging="16"/>
                    <w:rPr>
                      <w:rFonts w:hint="eastAsia"/>
                      <w:color w:val="auto"/>
                      <w:sz w:val="20"/>
                      <w:lang w:val="en-US" w:eastAsia="zh-CN"/>
                    </w:rPr>
                  </w:pPr>
                  <w:r>
                    <w:rPr>
                      <w:rFonts w:hint="eastAsia"/>
                      <w:color w:val="auto"/>
                      <w:sz w:val="20"/>
                      <w:lang w:val="en-US" w:eastAsia="zh-CN"/>
                    </w:rPr>
                    <w:t>收集后出售</w:t>
                  </w:r>
                </w:p>
              </w:tc>
              <w:tc>
                <w:tcPr>
                  <w:tcW w:w="1442" w:type="dxa"/>
                  <w:shd w:val="clear" w:color="auto" w:fill="auto"/>
                  <w:vAlign w:val="center"/>
                </w:tcPr>
                <w:p>
                  <w:pPr>
                    <w:jc w:val="center"/>
                    <w:rPr>
                      <w:sz w:val="20"/>
                      <w:szCs w:val="21"/>
                    </w:rPr>
                  </w:pPr>
                  <w:r>
                    <w:rPr>
                      <w:rFonts w:hint="eastAsia"/>
                      <w:sz w:val="20"/>
                      <w:szCs w:val="21"/>
                    </w:rPr>
                    <w:t>回收利用单位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 w:type="dxa"/>
                  <w:shd w:val="clear" w:color="auto" w:fill="auto"/>
                  <w:vAlign w:val="center"/>
                </w:tcPr>
                <w:p>
                  <w:pPr>
                    <w:jc w:val="center"/>
                    <w:rPr>
                      <w:rFonts w:hint="eastAsia"/>
                      <w:sz w:val="20"/>
                      <w:szCs w:val="21"/>
                    </w:rPr>
                  </w:pPr>
                  <w:r>
                    <w:rPr>
                      <w:rFonts w:hint="eastAsia"/>
                      <w:sz w:val="20"/>
                      <w:szCs w:val="21"/>
                    </w:rPr>
                    <w:t>4</w:t>
                  </w:r>
                </w:p>
              </w:tc>
              <w:tc>
                <w:tcPr>
                  <w:tcW w:w="1316" w:type="dxa"/>
                  <w:shd w:val="clear" w:color="auto" w:fill="auto"/>
                  <w:vAlign w:val="center"/>
                </w:tcPr>
                <w:p>
                  <w:pPr>
                    <w:jc w:val="center"/>
                    <w:rPr>
                      <w:rFonts w:hint="eastAsia"/>
                      <w:sz w:val="20"/>
                      <w:szCs w:val="21"/>
                    </w:rPr>
                  </w:pPr>
                  <w:r>
                    <w:rPr>
                      <w:rFonts w:hint="eastAsia"/>
                      <w:sz w:val="20"/>
                      <w:szCs w:val="21"/>
                    </w:rPr>
                    <w:t>废机油</w:t>
                  </w:r>
                </w:p>
              </w:tc>
              <w:tc>
                <w:tcPr>
                  <w:tcW w:w="1063" w:type="dxa"/>
                  <w:shd w:val="clear" w:color="auto" w:fill="auto"/>
                  <w:vAlign w:val="center"/>
                </w:tcPr>
                <w:p>
                  <w:pPr>
                    <w:jc w:val="center"/>
                    <w:rPr>
                      <w:rFonts w:hint="eastAsia"/>
                      <w:sz w:val="20"/>
                      <w:szCs w:val="21"/>
                    </w:rPr>
                  </w:pPr>
                  <w:r>
                    <w:rPr>
                      <w:rFonts w:hint="eastAsia"/>
                      <w:sz w:val="20"/>
                      <w:szCs w:val="21"/>
                    </w:rPr>
                    <w:t>机修</w:t>
                  </w:r>
                </w:p>
              </w:tc>
              <w:tc>
                <w:tcPr>
                  <w:tcW w:w="1331" w:type="dxa"/>
                  <w:shd w:val="clear" w:color="auto" w:fill="auto"/>
                  <w:vAlign w:val="center"/>
                </w:tcPr>
                <w:p>
                  <w:pPr>
                    <w:jc w:val="center"/>
                    <w:rPr>
                      <w:rFonts w:hint="eastAsia"/>
                      <w:sz w:val="20"/>
                      <w:szCs w:val="21"/>
                    </w:rPr>
                  </w:pPr>
                  <w:r>
                    <w:rPr>
                      <w:rFonts w:hint="eastAsia"/>
                      <w:sz w:val="20"/>
                      <w:szCs w:val="21"/>
                    </w:rPr>
                    <w:t>危险固废</w:t>
                  </w:r>
                </w:p>
              </w:tc>
              <w:tc>
                <w:tcPr>
                  <w:tcW w:w="799" w:type="dxa"/>
                  <w:shd w:val="clear" w:color="auto" w:fill="auto"/>
                  <w:vAlign w:val="center"/>
                </w:tcPr>
                <w:p>
                  <w:pPr>
                    <w:widowControl/>
                    <w:spacing w:before="100" w:beforeAutospacing="1" w:after="100" w:afterAutospacing="1"/>
                    <w:jc w:val="center"/>
                    <w:rPr>
                      <w:rFonts w:hint="eastAsia"/>
                      <w:sz w:val="20"/>
                      <w:szCs w:val="21"/>
                    </w:rPr>
                  </w:pPr>
                  <w:r>
                    <w:rPr>
                      <w:rFonts w:hint="eastAsia"/>
                      <w:sz w:val="20"/>
                      <w:szCs w:val="21"/>
                    </w:rPr>
                    <w:t>900-249-08</w:t>
                  </w:r>
                </w:p>
              </w:tc>
              <w:tc>
                <w:tcPr>
                  <w:tcW w:w="873" w:type="dxa"/>
                  <w:shd w:val="clear" w:color="auto" w:fill="auto"/>
                  <w:vAlign w:val="center"/>
                </w:tcPr>
                <w:p>
                  <w:pPr>
                    <w:jc w:val="center"/>
                    <w:rPr>
                      <w:sz w:val="20"/>
                      <w:szCs w:val="21"/>
                    </w:rPr>
                  </w:pPr>
                  <w:r>
                    <w:rPr>
                      <w:rFonts w:hint="eastAsia"/>
                      <w:sz w:val="20"/>
                      <w:szCs w:val="21"/>
                    </w:rPr>
                    <w:t>0.8</w:t>
                  </w:r>
                </w:p>
              </w:tc>
              <w:tc>
                <w:tcPr>
                  <w:tcW w:w="1204" w:type="dxa"/>
                  <w:shd w:val="clear" w:color="auto" w:fill="auto"/>
                  <w:vAlign w:val="center"/>
                </w:tcPr>
                <w:p>
                  <w:pPr>
                    <w:jc w:val="center"/>
                    <w:rPr>
                      <w:sz w:val="20"/>
                      <w:szCs w:val="21"/>
                    </w:rPr>
                  </w:pPr>
                  <w:r>
                    <w:rPr>
                      <w:rFonts w:hint="eastAsia"/>
                      <w:sz w:val="20"/>
                      <w:szCs w:val="21"/>
                    </w:rPr>
                    <w:t>收集后委托有资质单位处理</w:t>
                  </w:r>
                </w:p>
              </w:tc>
              <w:tc>
                <w:tcPr>
                  <w:tcW w:w="1442" w:type="dxa"/>
                  <w:shd w:val="clear" w:color="auto" w:fill="auto"/>
                  <w:vAlign w:val="center"/>
                </w:tcPr>
                <w:p>
                  <w:pPr>
                    <w:jc w:val="center"/>
                    <w:rPr>
                      <w:sz w:val="20"/>
                      <w:szCs w:val="21"/>
                    </w:rPr>
                  </w:pPr>
                  <w:r>
                    <w:rPr>
                      <w:rFonts w:hint="eastAsia"/>
                      <w:sz w:val="20"/>
                      <w:szCs w:val="21"/>
                    </w:rPr>
                    <w:t>委托南京市孝武润滑油添加剂经营部处理</w:t>
                  </w:r>
                </w:p>
              </w:tc>
            </w:tr>
          </w:tbl>
          <w:p>
            <w:pPr>
              <w:spacing w:line="360" w:lineRule="auto"/>
              <w:ind w:firstLine="480" w:firstLineChars="200"/>
              <w:rPr>
                <w:sz w:val="24"/>
              </w:rPr>
            </w:pPr>
            <w:r>
              <w:rPr>
                <w:sz w:val="24"/>
              </w:rPr>
              <w:t>项目运营期内产生的固体废物主要为废</w:t>
            </w:r>
            <w:r>
              <w:rPr>
                <w:rFonts w:hint="eastAsia"/>
                <w:sz w:val="24"/>
              </w:rPr>
              <w:t>包装、</w:t>
            </w:r>
            <w:r>
              <w:rPr>
                <w:sz w:val="24"/>
              </w:rPr>
              <w:t>生活垃圾</w:t>
            </w:r>
            <w:r>
              <w:rPr>
                <w:rFonts w:hint="eastAsia"/>
                <w:sz w:val="24"/>
              </w:rPr>
              <w:t>、办公垃圾、废机油</w:t>
            </w:r>
            <w:r>
              <w:rPr>
                <w:sz w:val="24"/>
              </w:rPr>
              <w:t>等，应分类收集，及时清运。其中：</w:t>
            </w:r>
          </w:p>
          <w:p>
            <w:pPr>
              <w:spacing w:line="360" w:lineRule="auto"/>
              <w:ind w:firstLine="480" w:firstLineChars="200"/>
              <w:rPr>
                <w:sz w:val="24"/>
              </w:rPr>
            </w:pPr>
            <w:r>
              <w:rPr>
                <w:rFonts w:hint="eastAsia" w:ascii="宋体" w:hAnsi="宋体" w:cs="宋体"/>
                <w:sz w:val="24"/>
              </w:rPr>
              <w:t>⑴</w:t>
            </w:r>
            <w:r>
              <w:rPr>
                <w:rFonts w:hint="eastAsia"/>
                <w:sz w:val="24"/>
              </w:rPr>
              <w:t>废包装、办公垃圾经收集后</w:t>
            </w:r>
            <w:r>
              <w:rPr>
                <w:sz w:val="24"/>
              </w:rPr>
              <w:t>外售综合利用；</w:t>
            </w:r>
          </w:p>
          <w:p>
            <w:pPr>
              <w:spacing w:line="360" w:lineRule="auto"/>
              <w:ind w:firstLine="480" w:firstLineChars="200"/>
              <w:rPr>
                <w:sz w:val="24"/>
              </w:rPr>
            </w:pPr>
            <w:r>
              <w:rPr>
                <w:rFonts w:hint="eastAsia" w:ascii="宋体" w:hAnsi="宋体" w:cs="宋体"/>
                <w:sz w:val="24"/>
              </w:rPr>
              <w:t>⑵</w:t>
            </w:r>
            <w:r>
              <w:rPr>
                <w:sz w:val="24"/>
              </w:rPr>
              <w:t>生活垃圾由环卫部门统一收集处理。</w:t>
            </w:r>
          </w:p>
          <w:p>
            <w:pPr>
              <w:spacing w:line="360" w:lineRule="auto"/>
              <w:ind w:firstLine="480" w:firstLineChars="200"/>
              <w:rPr>
                <w:rFonts w:hint="eastAsia"/>
                <w:sz w:val="24"/>
              </w:rPr>
            </w:pPr>
            <w:r>
              <w:rPr>
                <w:sz w:val="24"/>
              </w:rPr>
              <w:t>鉴于项目生活类废物在存放过程中易滋生蚊虫和细菌，评价建议建设单位对其产生的固体废物应做到日产日清，避免隔夜存放，以免滋生蚊蝇、传播疾病、污染环境；工业固废应加强场内暂存管理，避免二次污染。</w:t>
            </w:r>
          </w:p>
          <w:p>
            <w:pPr>
              <w:spacing w:line="360" w:lineRule="auto"/>
              <w:ind w:firstLine="480" w:firstLineChars="200"/>
              <w:rPr>
                <w:sz w:val="24"/>
              </w:rPr>
            </w:pPr>
            <w:r>
              <w:rPr>
                <w:sz w:val="24"/>
              </w:rPr>
              <w:t>采取上述措施后，项目固体废物可以做到不外排，对周围环境影响较小。</w:t>
            </w:r>
          </w:p>
          <w:p>
            <w:pPr>
              <w:spacing w:line="360" w:lineRule="auto"/>
              <w:rPr>
                <w:b/>
                <w:sz w:val="24"/>
              </w:rPr>
            </w:pPr>
            <w:r>
              <w:rPr>
                <w:b/>
                <w:sz w:val="24"/>
              </w:rPr>
              <w:t>5、生态及其它影响分析</w:t>
            </w:r>
          </w:p>
          <w:p>
            <w:pPr>
              <w:spacing w:line="360" w:lineRule="auto"/>
              <w:ind w:firstLine="480" w:firstLineChars="200"/>
              <w:rPr>
                <w:sz w:val="24"/>
              </w:rPr>
            </w:pPr>
            <w:r>
              <w:rPr>
                <w:sz w:val="24"/>
              </w:rPr>
              <w:t>项目</w:t>
            </w:r>
            <w:r>
              <w:rPr>
                <w:rFonts w:hint="eastAsia"/>
                <w:sz w:val="24"/>
              </w:rPr>
              <w:t>所在地</w:t>
            </w:r>
            <w:r>
              <w:rPr>
                <w:sz w:val="24"/>
              </w:rPr>
              <w:t>为规划的工业用地，生态系统简单，项目建设过程中经采取相关水土保持等有效措施后，项目的建设对周围生态系统影响较小。</w:t>
            </w:r>
            <w:r>
              <w:rPr>
                <w:rFonts w:hint="eastAsia"/>
                <w:sz w:val="24"/>
              </w:rPr>
              <w:t>经对照，本项目不在</w:t>
            </w:r>
            <w:r>
              <w:rPr>
                <w:rFonts w:hAnsi="宋体"/>
                <w:kern w:val="0"/>
                <w:sz w:val="24"/>
                <w:szCs w:val="21"/>
              </w:rPr>
              <w:t>《</w:t>
            </w:r>
            <w:r>
              <w:rPr>
                <w:rFonts w:hint="eastAsia" w:hAnsi="宋体"/>
                <w:kern w:val="0"/>
                <w:sz w:val="24"/>
                <w:szCs w:val="21"/>
              </w:rPr>
              <w:t>江苏省生态红线区域保护规划</w:t>
            </w:r>
            <w:r>
              <w:rPr>
                <w:rFonts w:hAnsi="宋体"/>
                <w:kern w:val="0"/>
                <w:sz w:val="24"/>
                <w:szCs w:val="21"/>
              </w:rPr>
              <w:t>》</w:t>
            </w:r>
            <w:r>
              <w:rPr>
                <w:rFonts w:hint="eastAsia" w:hAnsi="宋体"/>
                <w:kern w:val="0"/>
                <w:sz w:val="24"/>
                <w:szCs w:val="21"/>
              </w:rPr>
              <w:t>的一、二级管控区内。</w:t>
            </w:r>
          </w:p>
          <w:p>
            <w:pPr>
              <w:spacing w:line="360" w:lineRule="auto"/>
              <w:rPr>
                <w:b/>
                <w:sz w:val="24"/>
              </w:rPr>
            </w:pPr>
            <w:r>
              <w:rPr>
                <w:b/>
                <w:sz w:val="24"/>
              </w:rPr>
              <w:t>6、排污口规范化设置</w:t>
            </w:r>
          </w:p>
          <w:p>
            <w:pPr>
              <w:spacing w:line="360" w:lineRule="auto"/>
              <w:ind w:firstLine="480" w:firstLineChars="200"/>
              <w:rPr>
                <w:sz w:val="24"/>
              </w:rPr>
            </w:pPr>
            <w:r>
              <w:rPr>
                <w:sz w:val="24"/>
              </w:rPr>
              <w:t>按照国家环保总局《关于开展排污口规范化整治试点工作的通知》、江苏省环保厅《江苏省开展排污口规范化整治管理方法》的有关要求，项目废水排放口应当进行规范化设置，包括规范排污口、设置标志牌等确保符合环保管理要求。</w:t>
            </w:r>
          </w:p>
          <w:p>
            <w:pPr>
              <w:spacing w:line="360" w:lineRule="auto"/>
              <w:ind w:firstLine="570"/>
              <w:rPr>
                <w:sz w:val="24"/>
              </w:rPr>
            </w:pPr>
            <w:r>
              <w:rPr>
                <w:sz w:val="24"/>
              </w:rPr>
              <w:t>项目建成后，项目场区内污水排放口1个和雨水排放口1个。污水排口、雨水排口均设在</w:t>
            </w:r>
            <w:r>
              <w:rPr>
                <w:rFonts w:hint="eastAsia"/>
                <w:sz w:val="24"/>
              </w:rPr>
              <w:t>龙藏大道</w:t>
            </w:r>
            <w:r>
              <w:rPr>
                <w:sz w:val="24"/>
              </w:rPr>
              <w:t>一侧，并按《污水综合排放标准》（GB8978-1996）和《水质采用方案设计技术规定》（GB12997-1996）规定，在污水排放口设置采样点，并在总排放口附近醒目处设置环境保护图形标志牌。根据原国家环境保护局《水污染物排放许可证管理暂行办法》第四章第十八条的有关规定和国家、江苏省有关排污口规范化政策的要求，建设中应加强以下排污口规范化工作：</w:t>
            </w:r>
          </w:p>
          <w:p>
            <w:pPr>
              <w:spacing w:line="360" w:lineRule="auto"/>
              <w:ind w:firstLine="570"/>
              <w:rPr>
                <w:sz w:val="24"/>
              </w:rPr>
            </w:pPr>
            <w:r>
              <w:rPr>
                <w:sz w:val="24"/>
              </w:rPr>
              <w:t>（1）实施雨、污水分流制系统，将雨水与污水采取分流制分别排放。</w:t>
            </w:r>
          </w:p>
          <w:p>
            <w:pPr>
              <w:spacing w:line="360" w:lineRule="auto"/>
              <w:ind w:firstLine="570"/>
              <w:rPr>
                <w:sz w:val="24"/>
              </w:rPr>
            </w:pPr>
            <w:r>
              <w:rPr>
                <w:sz w:val="24"/>
              </w:rPr>
              <w:t>（2）排放口应按照《环境保护图形标志—排放口（源）》（GB15562.1-1995）的规定，设置与之相适应的环境保护图形、标志牌，设置位置应在距排放口较近且醒目处，并能长久保留。</w:t>
            </w:r>
          </w:p>
          <w:p>
            <w:pPr>
              <w:spacing w:line="360" w:lineRule="auto"/>
              <w:ind w:firstLine="570"/>
              <w:rPr>
                <w:sz w:val="24"/>
              </w:rPr>
            </w:pPr>
            <w:r>
              <w:rPr>
                <w:sz w:val="24"/>
              </w:rPr>
              <w:t>（3）《江苏省排污口设置及规范化整治管理办法》的第十二条规定，排污口符合“一明显、二合理、三便于”的要求，即环保标志明显，排污口设置合理、排污去向合理，便于采集样品、便于监测计量、便于公众监督管理。</w:t>
            </w:r>
          </w:p>
          <w:p>
            <w:pPr>
              <w:spacing w:line="360" w:lineRule="auto"/>
              <w:rPr>
                <w:b/>
                <w:sz w:val="24"/>
              </w:rPr>
            </w:pPr>
            <w:r>
              <w:rPr>
                <w:rFonts w:hint="eastAsia"/>
                <w:b/>
                <w:sz w:val="24"/>
              </w:rPr>
              <w:t>7</w:t>
            </w:r>
            <w:r>
              <w:rPr>
                <w:b/>
                <w:sz w:val="24"/>
              </w:rPr>
              <w:t>、环境风险分析</w:t>
            </w:r>
          </w:p>
          <w:p>
            <w:pPr>
              <w:spacing w:line="360" w:lineRule="auto"/>
              <w:ind w:firstLine="570"/>
              <w:rPr>
                <w:rFonts w:hint="eastAsia"/>
                <w:color w:val="000000"/>
                <w:sz w:val="24"/>
              </w:rPr>
            </w:pPr>
            <w:r>
              <w:rPr>
                <w:color w:val="000000"/>
                <w:sz w:val="24"/>
              </w:rPr>
              <w:t>项目仓储货物为</w:t>
            </w:r>
            <w:r>
              <w:rPr>
                <w:sz w:val="24"/>
              </w:rPr>
              <w:t>服装鞋帽、婴儿用品、食品、化妆品、汽车用品、珠宝、书籍、乐器</w:t>
            </w:r>
            <w:r>
              <w:rPr>
                <w:color w:val="000000"/>
                <w:sz w:val="24"/>
              </w:rPr>
              <w:t>，货物外包装以纸箱为主，可燃物存放规模较大，堆放较集中，火灾隐患大。建设单位应按照消防部门相关管理规定进行消防设计、施工及验收，做好火灾预防教育、普及防火知识、对库房物资的码放进行合理安排、接受相关部门定期进行检查、对防火条件不合格的地方及时进行整改、充实值班人员岗位、落实日常巡检人员岗位职责、严格督导日常防火工作开展等必要措施，防患于未然。并对职工进行消防预演和制定消防预案。</w:t>
            </w:r>
          </w:p>
          <w:p>
            <w:pPr>
              <w:spacing w:line="360" w:lineRule="auto"/>
              <w:ind w:firstLine="570"/>
              <w:rPr>
                <w:rFonts w:hint="eastAsia"/>
                <w:color w:val="000000"/>
                <w:sz w:val="24"/>
              </w:rPr>
            </w:pPr>
            <w:r>
              <w:rPr>
                <w:rFonts w:hint="eastAsia"/>
                <w:color w:val="000000"/>
                <w:sz w:val="24"/>
              </w:rPr>
              <w:t>此外，本项目</w:t>
            </w:r>
            <w:r>
              <w:rPr>
                <w:color w:val="000000"/>
                <w:sz w:val="24"/>
              </w:rPr>
              <w:t>仓储货物</w:t>
            </w:r>
            <w:r>
              <w:rPr>
                <w:rFonts w:hint="eastAsia"/>
                <w:color w:val="000000"/>
                <w:sz w:val="24"/>
              </w:rPr>
              <w:t>中包含洗化用品，当出现洗化用品破碎等情况时，需用清水冲洗地面，此股废水经收集后接管城南污水处理厂处理，不得排入雨水管网。</w:t>
            </w:r>
          </w:p>
          <w:p>
            <w:pPr>
              <w:spacing w:line="360" w:lineRule="auto"/>
              <w:ind w:firstLine="570"/>
              <w:rPr>
                <w:rFonts w:hint="eastAsia"/>
                <w:color w:val="000000"/>
                <w:sz w:val="24"/>
              </w:rPr>
            </w:pPr>
            <w:r>
              <w:rPr>
                <w:rFonts w:hint="eastAsia"/>
                <w:color w:val="000000"/>
                <w:sz w:val="24"/>
              </w:rPr>
              <w:t>建设单位在分拣中心东南侧设置有容积为1210</w:t>
            </w:r>
            <w:r>
              <w:rPr>
                <w:sz w:val="24"/>
              </w:rPr>
              <w:t xml:space="preserve"> m</w:t>
            </w:r>
            <w:r>
              <w:rPr>
                <w:sz w:val="24"/>
                <w:vertAlign w:val="superscript"/>
              </w:rPr>
              <w:t>3</w:t>
            </w:r>
            <w:r>
              <w:rPr>
                <w:rFonts w:hint="eastAsia"/>
                <w:sz w:val="24"/>
              </w:rPr>
              <w:t>的消防水池兼做事故池</w:t>
            </w:r>
            <w:r>
              <w:rPr>
                <w:color w:val="000000"/>
                <w:sz w:val="24"/>
              </w:rPr>
              <w:t>。</w:t>
            </w:r>
          </w:p>
          <w:p>
            <w:pPr>
              <w:spacing w:line="360" w:lineRule="auto"/>
              <w:rPr>
                <w:rFonts w:hint="eastAsia"/>
                <w:b/>
                <w:sz w:val="24"/>
              </w:rPr>
            </w:pPr>
            <w:r>
              <w:rPr>
                <w:rFonts w:hint="eastAsia"/>
                <w:b/>
                <w:sz w:val="24"/>
              </w:rPr>
              <w:t>8、清洁生产：</w:t>
            </w:r>
          </w:p>
          <w:p>
            <w:pPr>
              <w:spacing w:line="360" w:lineRule="auto"/>
              <w:ind w:firstLine="570"/>
              <w:rPr>
                <w:rFonts w:hint="eastAsia"/>
                <w:color w:val="000000"/>
                <w:sz w:val="24"/>
              </w:rPr>
            </w:pPr>
            <w:r>
              <w:rPr>
                <w:rFonts w:hint="eastAsia"/>
                <w:color w:val="000000"/>
                <w:sz w:val="24"/>
              </w:rPr>
              <w:t>本项目是以</w:t>
            </w:r>
            <w:r>
              <w:rPr>
                <w:sz w:val="24"/>
              </w:rPr>
              <w:t>服装鞋帽、婴儿用品、食品、化妆品、汽车用品、珠宝、书籍、乐器等</w:t>
            </w:r>
            <w:r>
              <w:rPr>
                <w:rFonts w:hint="eastAsia"/>
                <w:color w:val="000000"/>
                <w:sz w:val="24"/>
              </w:rPr>
              <w:t>配送为主的现代物流业，主要进行百货商品的运输、仓储、装卸、整理、配送、信息服务，运营过程达到了清洁的生产工艺和设备要求，主要体现在：</w:t>
            </w:r>
          </w:p>
          <w:p>
            <w:pPr>
              <w:spacing w:line="360" w:lineRule="auto"/>
              <w:ind w:firstLine="570"/>
              <w:rPr>
                <w:rFonts w:hint="eastAsia"/>
                <w:color w:val="000000"/>
                <w:sz w:val="24"/>
              </w:rPr>
            </w:pPr>
            <w:r>
              <w:rPr>
                <w:rFonts w:hint="eastAsia"/>
                <w:color w:val="000000"/>
                <w:sz w:val="24"/>
              </w:rPr>
              <w:t>（1）运输工具：采购使用清洁燃料的机动车，同时大力推进承担本项目运营的外单位车辆使用清洁燃料，加强机动车的检测与维修。</w:t>
            </w:r>
          </w:p>
          <w:p>
            <w:pPr>
              <w:spacing w:line="360" w:lineRule="auto"/>
              <w:ind w:firstLine="570"/>
              <w:rPr>
                <w:rFonts w:hint="eastAsia"/>
                <w:color w:val="000000"/>
                <w:sz w:val="24"/>
              </w:rPr>
            </w:pPr>
            <w:r>
              <w:rPr>
                <w:rFonts w:hint="eastAsia"/>
                <w:color w:val="000000"/>
                <w:sz w:val="24"/>
              </w:rPr>
              <w:t>（2）仓储建筑：仓储建筑物严格执行符合国家、行业或地方标准的高效保温隔热材料，提高热阻，减缓热量进入墙体，墙内设置空气间层或通风间层，增强保温隔热效果；冷库的围护结构中内衬保温层，增强保温性能，减少能量损失。</w:t>
            </w:r>
          </w:p>
          <w:p>
            <w:pPr>
              <w:spacing w:line="360" w:lineRule="auto"/>
              <w:ind w:firstLine="570"/>
              <w:rPr>
                <w:rFonts w:hint="eastAsia"/>
                <w:color w:val="000000"/>
                <w:sz w:val="24"/>
              </w:rPr>
            </w:pPr>
            <w:r>
              <w:rPr>
                <w:rFonts w:hint="eastAsia"/>
                <w:color w:val="000000"/>
                <w:sz w:val="24"/>
              </w:rPr>
              <w:t>（3）加工、整理工序：根据配送服务对象需求，将运抵到场的商品分装成相应重量的货物或者集中装箱、装袋，全过程能源使用量少，污染物产生量少。</w:t>
            </w:r>
          </w:p>
          <w:p>
            <w:pPr>
              <w:spacing w:line="360" w:lineRule="auto"/>
              <w:ind w:firstLine="570"/>
              <w:rPr>
                <w:rFonts w:hint="eastAsia"/>
                <w:color w:val="000000"/>
                <w:sz w:val="24"/>
              </w:rPr>
            </w:pPr>
            <w:r>
              <w:rPr>
                <w:rFonts w:hint="eastAsia"/>
                <w:color w:val="000000"/>
                <w:sz w:val="24"/>
              </w:rPr>
              <w:t>（4）信息服务设备：构建全网络化运营的物流配送管理平台、业务运作保障平台、电子商务支持平台，实现人力、财力的节约。</w:t>
            </w:r>
          </w:p>
          <w:p>
            <w:pPr>
              <w:spacing w:line="360" w:lineRule="auto"/>
              <w:ind w:firstLine="570"/>
              <w:rPr>
                <w:rFonts w:hint="eastAsia"/>
                <w:color w:val="000000"/>
                <w:sz w:val="24"/>
              </w:rPr>
            </w:pPr>
            <w:r>
              <w:rPr>
                <w:rFonts w:hint="eastAsia"/>
                <w:color w:val="000000"/>
                <w:sz w:val="24"/>
              </w:rPr>
              <w:t>（5）公用工程设备：选用国家推荐的节能型VRV空调、水泵；针对物流中心内外采光选择合适的智能照明控制方式，尽可能充分利用自然光，保证建筑物内部有足够的日照；采用节水设施。推广使用国家推荐的用水器具，合理限定配水点水压，根据不同用途及功能分区设置适当数量的水表以控制用水；在场地内设置多处雨水收集设施，尽可能实现雨水回用。</w:t>
            </w:r>
          </w:p>
          <w:p>
            <w:pPr>
              <w:spacing w:line="360" w:lineRule="auto"/>
              <w:ind w:firstLine="570"/>
              <w:rPr>
                <w:color w:val="000000"/>
                <w:sz w:val="24"/>
              </w:rPr>
            </w:pPr>
            <w:r>
              <w:rPr>
                <w:rFonts w:hint="eastAsia"/>
                <w:color w:val="000000"/>
                <w:sz w:val="24"/>
              </w:rPr>
              <w:t>项目通过信息技术与网络技术的应用，提供增值服务，推进商品结构调整，提高华东地区物流的产业化、标准化生产水平，体现了清洁生产的理念。</w:t>
            </w:r>
          </w:p>
          <w:p>
            <w:pPr>
              <w:spacing w:line="360" w:lineRule="auto"/>
              <w:rPr>
                <w:b/>
                <w:sz w:val="24"/>
              </w:rPr>
            </w:pPr>
            <w:bookmarkStart w:id="18" w:name="_Toc319912659"/>
            <w:r>
              <w:rPr>
                <w:rFonts w:hint="eastAsia"/>
                <w:b/>
                <w:sz w:val="24"/>
              </w:rPr>
              <w:t>9</w:t>
            </w:r>
            <w:r>
              <w:rPr>
                <w:b/>
                <w:sz w:val="24"/>
              </w:rPr>
              <w:t>、运输环节环境影响分析</w:t>
            </w:r>
            <w:bookmarkEnd w:id="18"/>
          </w:p>
          <w:p>
            <w:pPr>
              <w:spacing w:line="360" w:lineRule="auto"/>
              <w:rPr>
                <w:color w:val="000000"/>
                <w:sz w:val="24"/>
              </w:rPr>
            </w:pPr>
            <w:r>
              <w:rPr>
                <w:rFonts w:hint="eastAsia" w:ascii="宋体" w:hAnsi="宋体"/>
                <w:color w:val="000000"/>
                <w:sz w:val="24"/>
              </w:rPr>
              <w:t>①</w:t>
            </w:r>
            <w:r>
              <w:rPr>
                <w:color w:val="000000"/>
                <w:sz w:val="24"/>
              </w:rPr>
              <w:t>周边道路设施现状及运输需求分析</w:t>
            </w:r>
          </w:p>
          <w:p>
            <w:pPr>
              <w:spacing w:line="360" w:lineRule="auto"/>
              <w:ind w:firstLine="570"/>
              <w:rPr>
                <w:color w:val="000000"/>
                <w:sz w:val="24"/>
              </w:rPr>
            </w:pPr>
            <w:r>
              <w:rPr>
                <w:color w:val="000000"/>
                <w:sz w:val="24"/>
              </w:rPr>
              <w:t>项目所在地周边现状主要为</w:t>
            </w:r>
            <w:r>
              <w:rPr>
                <w:rFonts w:hint="eastAsia"/>
                <w:color w:val="000000"/>
                <w:sz w:val="24"/>
              </w:rPr>
              <w:t>龙藏大道</w:t>
            </w:r>
            <w:r>
              <w:rPr>
                <w:color w:val="000000"/>
                <w:sz w:val="24"/>
              </w:rPr>
              <w:t>、</w:t>
            </w:r>
            <w:r>
              <w:rPr>
                <w:rFonts w:hint="eastAsia"/>
                <w:color w:val="000000"/>
                <w:sz w:val="24"/>
              </w:rPr>
              <w:t>龙飞路</w:t>
            </w:r>
            <w:r>
              <w:rPr>
                <w:color w:val="000000"/>
                <w:sz w:val="24"/>
              </w:rPr>
              <w:t>、</w:t>
            </w:r>
            <w:r>
              <w:rPr>
                <w:rFonts w:hint="eastAsia"/>
                <w:color w:val="000000"/>
                <w:sz w:val="24"/>
              </w:rPr>
              <w:t>凤集大道</w:t>
            </w:r>
            <w:r>
              <w:rPr>
                <w:color w:val="000000"/>
                <w:sz w:val="24"/>
              </w:rPr>
              <w:t>，其中</w:t>
            </w:r>
            <w:r>
              <w:rPr>
                <w:rFonts w:hint="eastAsia"/>
                <w:color w:val="000000"/>
                <w:sz w:val="24"/>
              </w:rPr>
              <w:t>龙藏大道、凤集大道</w:t>
            </w:r>
            <w:r>
              <w:rPr>
                <w:color w:val="000000"/>
                <w:sz w:val="24"/>
              </w:rPr>
              <w:t>为主干路、</w:t>
            </w:r>
            <w:r>
              <w:rPr>
                <w:rFonts w:hint="eastAsia"/>
                <w:color w:val="000000"/>
                <w:sz w:val="24"/>
              </w:rPr>
              <w:t>龙飞路</w:t>
            </w:r>
            <w:r>
              <w:rPr>
                <w:color w:val="000000"/>
                <w:sz w:val="24"/>
              </w:rPr>
              <w:t>为次干路。根据本项目</w:t>
            </w:r>
            <w:r>
              <w:rPr>
                <w:rFonts w:hint="eastAsia"/>
                <w:color w:val="000000"/>
                <w:sz w:val="24"/>
              </w:rPr>
              <w:t>商品</w:t>
            </w:r>
            <w:r>
              <w:rPr>
                <w:color w:val="000000"/>
                <w:sz w:val="24"/>
              </w:rPr>
              <w:t>约</w:t>
            </w:r>
            <w:r>
              <w:rPr>
                <w:rFonts w:hint="eastAsia"/>
                <w:color w:val="000000"/>
                <w:sz w:val="24"/>
              </w:rPr>
              <w:t>95</w:t>
            </w:r>
            <w:r>
              <w:rPr>
                <w:color w:val="000000"/>
                <w:sz w:val="24"/>
              </w:rPr>
              <w:t>万吨的预计配送量，若按平均每辆车年运行3</w:t>
            </w:r>
            <w:r>
              <w:rPr>
                <w:rFonts w:hint="eastAsia"/>
                <w:color w:val="000000"/>
                <w:sz w:val="24"/>
              </w:rPr>
              <w:t>65</w:t>
            </w:r>
            <w:r>
              <w:rPr>
                <w:color w:val="000000"/>
                <w:sz w:val="24"/>
              </w:rPr>
              <w:t>天，全天到达物流中心的货车需求量约为</w:t>
            </w:r>
            <w:r>
              <w:rPr>
                <w:rFonts w:hint="eastAsia"/>
                <w:color w:val="000000"/>
                <w:sz w:val="24"/>
              </w:rPr>
              <w:t>1844</w:t>
            </w:r>
            <w:r>
              <w:rPr>
                <w:color w:val="000000"/>
                <w:sz w:val="24"/>
              </w:rPr>
              <w:t>车次，每小时车流量约为</w:t>
            </w:r>
            <w:r>
              <w:rPr>
                <w:rFonts w:hint="eastAsia"/>
                <w:color w:val="000000"/>
                <w:sz w:val="24"/>
              </w:rPr>
              <w:t>76</w:t>
            </w:r>
            <w:r>
              <w:rPr>
                <w:color w:val="000000"/>
                <w:sz w:val="24"/>
              </w:rPr>
              <w:t>辆。</w:t>
            </w:r>
          </w:p>
          <w:p>
            <w:pPr>
              <w:spacing w:line="360" w:lineRule="auto"/>
              <w:rPr>
                <w:color w:val="000000"/>
                <w:sz w:val="24"/>
              </w:rPr>
            </w:pPr>
            <w:r>
              <w:rPr>
                <w:rFonts w:hint="eastAsia" w:ascii="宋体" w:hAnsi="宋体"/>
                <w:color w:val="000000"/>
                <w:sz w:val="24"/>
              </w:rPr>
              <w:t>②</w:t>
            </w:r>
            <w:r>
              <w:rPr>
                <w:color w:val="000000"/>
                <w:sz w:val="24"/>
              </w:rPr>
              <w:t>运输环节环境影响分析</w:t>
            </w:r>
          </w:p>
          <w:p>
            <w:pPr>
              <w:spacing w:line="360" w:lineRule="auto"/>
              <w:ind w:firstLine="570"/>
              <w:rPr>
                <w:color w:val="000000"/>
                <w:sz w:val="24"/>
              </w:rPr>
            </w:pPr>
            <w:r>
              <w:rPr>
                <w:color w:val="000000"/>
                <w:sz w:val="24"/>
              </w:rPr>
              <w:t>根据《公路工程技术标准》（JTJ001-1997），四车道一级公路应能适应将各种汽车折合成小客车的年平均日交通量15000～30000辆，城市主干路一般能适应每昼夜3000～7500辆中型载重汽车交通量，城市次干路一般能适应每昼夜1000～4000辆中型载重汽车交通量。本项目全天到达物流中心的货车需求量约为</w:t>
            </w:r>
            <w:r>
              <w:rPr>
                <w:rFonts w:hint="eastAsia"/>
                <w:color w:val="000000"/>
                <w:sz w:val="24"/>
              </w:rPr>
              <w:t>1844</w:t>
            </w:r>
            <w:r>
              <w:rPr>
                <w:color w:val="000000"/>
                <w:sz w:val="24"/>
              </w:rPr>
              <w:t>车次，每小时车流量约为</w:t>
            </w:r>
            <w:r>
              <w:rPr>
                <w:rFonts w:hint="eastAsia"/>
                <w:color w:val="000000"/>
                <w:sz w:val="24"/>
              </w:rPr>
              <w:t>76</w:t>
            </w:r>
            <w:r>
              <w:rPr>
                <w:color w:val="000000"/>
                <w:sz w:val="24"/>
              </w:rPr>
              <w:t>辆。因此，从总体来看，本项目开发后产生的交通增量较小，对地块周边道路特别是干道的交通影响程度较小。</w:t>
            </w:r>
          </w:p>
          <w:p>
            <w:pPr>
              <w:spacing w:line="360" w:lineRule="auto"/>
              <w:ind w:firstLine="570"/>
              <w:rPr>
                <w:rFonts w:hint="eastAsia"/>
                <w:color w:val="FF0000"/>
                <w:sz w:val="24"/>
              </w:rPr>
            </w:pPr>
            <w:r>
              <w:rPr>
                <w:color w:val="000000"/>
                <w:sz w:val="24"/>
              </w:rPr>
              <w:t>建设项目对周边道路沿线居民的影响主要表现在由于车流量加大，交通噪声可能对居民产生不良影响。</w:t>
            </w:r>
            <w:r>
              <w:rPr>
                <w:rFonts w:hint="eastAsia"/>
                <w:color w:val="000000"/>
                <w:sz w:val="24"/>
              </w:rPr>
              <w:t>本项目</w:t>
            </w:r>
            <w:r>
              <w:rPr>
                <w:color w:val="000000"/>
                <w:sz w:val="24"/>
              </w:rPr>
              <w:t>共建</w:t>
            </w:r>
            <w:r>
              <w:rPr>
                <w:sz w:val="24"/>
              </w:rPr>
              <w:t>设仓储仓库</w:t>
            </w:r>
            <w:r>
              <w:rPr>
                <w:rFonts w:hint="eastAsia"/>
                <w:sz w:val="24"/>
              </w:rPr>
              <w:t>4座，仓库</w:t>
            </w:r>
            <w:r>
              <w:rPr>
                <w:sz w:val="24"/>
              </w:rPr>
              <w:t>分布在地块中部，靠近各个货车出入口。分拣中心位于地块中部偏东的位置</w:t>
            </w:r>
            <w:r>
              <w:rPr>
                <w:rFonts w:hint="eastAsia"/>
                <w:sz w:val="24"/>
              </w:rPr>
              <w:t>，</w:t>
            </w:r>
            <w:r>
              <w:rPr>
                <w:sz w:val="24"/>
              </w:rPr>
              <w:t>项目研发</w:t>
            </w:r>
            <w:r>
              <w:rPr>
                <w:rFonts w:hint="eastAsia"/>
                <w:sz w:val="24"/>
              </w:rPr>
              <w:t>办公楼</w:t>
            </w:r>
            <w:r>
              <w:rPr>
                <w:sz w:val="24"/>
              </w:rPr>
              <w:t>位于地块的</w:t>
            </w:r>
            <w:r>
              <w:rPr>
                <w:rFonts w:hint="eastAsia"/>
                <w:sz w:val="24"/>
              </w:rPr>
              <w:t>北部及</w:t>
            </w:r>
            <w:r>
              <w:rPr>
                <w:sz w:val="24"/>
              </w:rPr>
              <w:t>西南侧。</w:t>
            </w:r>
            <w:r>
              <w:rPr>
                <w:rFonts w:hint="eastAsia"/>
                <w:sz w:val="24"/>
              </w:rPr>
              <w:t>物流仓储区隔研发楼与南侧最近居住区正达公寓距离约</w:t>
            </w:r>
            <w:r>
              <w:rPr>
                <w:rFonts w:hint="eastAsia"/>
                <w:color w:val="000000"/>
                <w:sz w:val="24"/>
              </w:rPr>
              <w:t>278米。本项目主要货车出入口分布在项目北侧、西侧及东侧，远离居民区，通过合理布设汽车行驶路线，加强车辆管理，禁止鸣笛、限速；合理规划项目内的车流方向，保持车流畅通；物流仓库等建筑物隔声、距离衰减，严格控制货物搬运时间等措施，可有效减少对周边居民日常生活的影响。</w:t>
            </w:r>
            <w:r>
              <w:rPr>
                <w:rFonts w:hint="eastAsia"/>
                <w:color w:val="FF0000"/>
                <w:sz w:val="24"/>
              </w:rPr>
              <w:t xml:space="preserve"> </w:t>
            </w:r>
          </w:p>
          <w:p>
            <w:pPr>
              <w:spacing w:line="360" w:lineRule="auto"/>
              <w:ind w:firstLine="570"/>
              <w:rPr>
                <w:rFonts w:hint="eastAsia"/>
                <w:color w:val="000000"/>
                <w:sz w:val="24"/>
              </w:rPr>
            </w:pPr>
            <w:r>
              <w:rPr>
                <w:color w:val="000000"/>
                <w:sz w:val="24"/>
              </w:rPr>
              <w:t>另外，由于运输车辆的增加，造成路面行驶的机动车尾气排放量增多，由于机动车尾气污染物的控制是一个城市或区域内的系统工程，本项目的建设单位及管理单位要在行动和意识上执行国家及当地各级部门对机动车尾气污染物排放控制制定的各项政策措施，禁止尾气污染物超标排放机动车通行，大力推荐使用清洁燃料，加强机动车的检测与维修。</w:t>
            </w:r>
          </w:p>
          <w:p>
            <w:pPr>
              <w:spacing w:line="360" w:lineRule="auto"/>
              <w:ind w:firstLine="570"/>
              <w:rPr>
                <w:rFonts w:hint="eastAsia"/>
                <w:color w:val="000000"/>
                <w:sz w:val="24"/>
              </w:rPr>
            </w:pPr>
          </w:p>
          <w:p>
            <w:pPr>
              <w:spacing w:line="360" w:lineRule="auto"/>
              <w:ind w:firstLine="570"/>
              <w:rPr>
                <w:rFonts w:hint="eastAsia"/>
                <w:color w:val="000000"/>
                <w:sz w:val="24"/>
              </w:rPr>
            </w:pPr>
          </w:p>
          <w:p>
            <w:pPr>
              <w:spacing w:line="360" w:lineRule="auto"/>
              <w:ind w:firstLine="570"/>
              <w:rPr>
                <w:rFonts w:hint="eastAsia"/>
                <w:color w:val="000000"/>
                <w:sz w:val="24"/>
              </w:rPr>
            </w:pPr>
          </w:p>
          <w:p>
            <w:pPr>
              <w:spacing w:line="360" w:lineRule="auto"/>
              <w:ind w:firstLine="570"/>
              <w:rPr>
                <w:rFonts w:hint="eastAsia"/>
                <w:color w:val="000000"/>
                <w:sz w:val="24"/>
              </w:rPr>
            </w:pPr>
          </w:p>
          <w:p>
            <w:pPr>
              <w:spacing w:line="360" w:lineRule="auto"/>
              <w:ind w:firstLine="570"/>
              <w:rPr>
                <w:rFonts w:hint="eastAsia"/>
                <w:color w:val="000000"/>
                <w:sz w:val="24"/>
              </w:rPr>
            </w:pPr>
          </w:p>
          <w:p>
            <w:pPr>
              <w:spacing w:line="360" w:lineRule="auto"/>
              <w:ind w:firstLine="570"/>
              <w:rPr>
                <w:color w:val="000000"/>
                <w:sz w:val="24"/>
              </w:rPr>
            </w:pPr>
          </w:p>
        </w:tc>
      </w:tr>
    </w:tbl>
    <w:p>
      <w:pPr>
        <w:outlineLvl w:val="0"/>
        <w:rPr>
          <w:rFonts w:eastAsia="黑体"/>
          <w:color w:val="000000"/>
          <w:sz w:val="24"/>
        </w:rPr>
      </w:pPr>
      <w:r>
        <w:rPr>
          <w:color w:val="000000"/>
          <w:sz w:val="24"/>
        </w:rPr>
        <w:br w:type="page"/>
      </w:r>
      <w:r>
        <w:rPr>
          <w:rFonts w:hint="eastAsia"/>
          <w:color w:val="000000"/>
          <w:sz w:val="24"/>
        </w:rPr>
        <w:t>9、</w:t>
      </w:r>
      <w:r>
        <w:rPr>
          <w:b/>
          <w:color w:val="000000"/>
          <w:sz w:val="24"/>
        </w:rPr>
        <w:t>建设项目拟采取的污染防治措施及预期治理效果</w:t>
      </w:r>
    </w:p>
    <w:tbl>
      <w:tblPr>
        <w:tblStyle w:val="33"/>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336"/>
        <w:gridCol w:w="1367"/>
        <w:gridCol w:w="2590"/>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977" w:type="dxa"/>
            <w:vAlign w:val="center"/>
          </w:tcPr>
          <w:p>
            <w:pPr>
              <w:jc w:val="center"/>
              <w:rPr>
                <w:b/>
                <w:color w:val="000000"/>
                <w:szCs w:val="21"/>
              </w:rPr>
            </w:pPr>
            <w:r>
              <w:rPr>
                <w:b/>
                <w:color w:val="000000"/>
                <w:szCs w:val="21"/>
              </w:rPr>
              <w:t>类别</w:t>
            </w:r>
          </w:p>
        </w:tc>
        <w:tc>
          <w:tcPr>
            <w:tcW w:w="1336" w:type="dxa"/>
            <w:vAlign w:val="center"/>
          </w:tcPr>
          <w:p>
            <w:pPr>
              <w:jc w:val="center"/>
              <w:rPr>
                <w:b/>
                <w:color w:val="000000"/>
                <w:szCs w:val="21"/>
              </w:rPr>
            </w:pPr>
            <w:r>
              <w:rPr>
                <w:b/>
                <w:color w:val="000000"/>
                <w:szCs w:val="21"/>
              </w:rPr>
              <w:t>排放源</w:t>
            </w:r>
          </w:p>
        </w:tc>
        <w:tc>
          <w:tcPr>
            <w:tcW w:w="1367" w:type="dxa"/>
            <w:vAlign w:val="center"/>
          </w:tcPr>
          <w:p>
            <w:pPr>
              <w:jc w:val="center"/>
              <w:rPr>
                <w:b/>
                <w:color w:val="000000"/>
                <w:szCs w:val="21"/>
              </w:rPr>
            </w:pPr>
            <w:r>
              <w:rPr>
                <w:b/>
                <w:color w:val="000000"/>
                <w:szCs w:val="21"/>
              </w:rPr>
              <w:t>污染物名称</w:t>
            </w:r>
          </w:p>
        </w:tc>
        <w:tc>
          <w:tcPr>
            <w:tcW w:w="2590" w:type="dxa"/>
            <w:vAlign w:val="center"/>
          </w:tcPr>
          <w:p>
            <w:pPr>
              <w:jc w:val="center"/>
              <w:rPr>
                <w:b/>
                <w:color w:val="000000"/>
                <w:szCs w:val="21"/>
              </w:rPr>
            </w:pPr>
            <w:r>
              <w:rPr>
                <w:b/>
                <w:color w:val="000000"/>
                <w:szCs w:val="21"/>
              </w:rPr>
              <w:t>防治措施</w:t>
            </w:r>
          </w:p>
        </w:tc>
        <w:tc>
          <w:tcPr>
            <w:tcW w:w="2190" w:type="dxa"/>
            <w:vAlign w:val="center"/>
          </w:tcPr>
          <w:p>
            <w:pPr>
              <w:jc w:val="center"/>
              <w:rPr>
                <w:b/>
                <w:color w:val="000000"/>
                <w:szCs w:val="21"/>
              </w:rPr>
            </w:pPr>
            <w:r>
              <w:rPr>
                <w:b/>
                <w:color w:val="000000"/>
                <w:szCs w:val="21"/>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7" w:hRule="atLeast"/>
        </w:trPr>
        <w:tc>
          <w:tcPr>
            <w:tcW w:w="977" w:type="dxa"/>
            <w:vAlign w:val="center"/>
          </w:tcPr>
          <w:p>
            <w:pPr>
              <w:jc w:val="center"/>
              <w:rPr>
                <w:color w:val="000000"/>
                <w:szCs w:val="21"/>
              </w:rPr>
            </w:pPr>
            <w:r>
              <w:rPr>
                <w:color w:val="000000"/>
                <w:szCs w:val="21"/>
              </w:rPr>
              <w:t>大气污染物</w:t>
            </w:r>
          </w:p>
        </w:tc>
        <w:tc>
          <w:tcPr>
            <w:tcW w:w="1336" w:type="dxa"/>
            <w:vAlign w:val="center"/>
          </w:tcPr>
          <w:p>
            <w:pPr>
              <w:jc w:val="center"/>
              <w:rPr>
                <w:color w:val="000000"/>
                <w:szCs w:val="21"/>
              </w:rPr>
            </w:pPr>
            <w:r>
              <w:rPr>
                <w:rFonts w:hint="eastAsia"/>
                <w:color w:val="000000"/>
                <w:szCs w:val="21"/>
              </w:rPr>
              <w:t>地面停车场</w:t>
            </w:r>
          </w:p>
        </w:tc>
        <w:tc>
          <w:tcPr>
            <w:tcW w:w="1367" w:type="dxa"/>
            <w:vAlign w:val="center"/>
          </w:tcPr>
          <w:p>
            <w:pPr>
              <w:jc w:val="center"/>
              <w:rPr>
                <w:color w:val="000000"/>
                <w:szCs w:val="21"/>
              </w:rPr>
            </w:pPr>
            <w:r>
              <w:rPr>
                <w:rFonts w:hint="eastAsia"/>
                <w:color w:val="000000"/>
                <w:szCs w:val="21"/>
              </w:rPr>
              <w:t>CO</w:t>
            </w:r>
          </w:p>
          <w:p>
            <w:pPr>
              <w:jc w:val="center"/>
              <w:rPr>
                <w:color w:val="000000"/>
                <w:szCs w:val="21"/>
              </w:rPr>
            </w:pPr>
            <w:r>
              <w:rPr>
                <w:color w:val="000000"/>
                <w:szCs w:val="21"/>
              </w:rPr>
              <w:t>NO</w:t>
            </w:r>
            <w:r>
              <w:rPr>
                <w:color w:val="000000"/>
                <w:szCs w:val="21"/>
                <w:vertAlign w:val="subscript"/>
              </w:rPr>
              <w:t>X</w:t>
            </w:r>
          </w:p>
        </w:tc>
        <w:tc>
          <w:tcPr>
            <w:tcW w:w="2590" w:type="dxa"/>
            <w:vAlign w:val="center"/>
          </w:tcPr>
          <w:p>
            <w:pPr>
              <w:jc w:val="center"/>
              <w:rPr>
                <w:color w:val="000000"/>
                <w:szCs w:val="21"/>
              </w:rPr>
            </w:pPr>
            <w:r>
              <w:rPr>
                <w:rFonts w:hint="eastAsia"/>
                <w:color w:val="000000"/>
                <w:szCs w:val="21"/>
              </w:rPr>
              <w:t>加强绿化、严禁尾气超标车辆进入</w:t>
            </w:r>
          </w:p>
        </w:tc>
        <w:tc>
          <w:tcPr>
            <w:tcW w:w="2190" w:type="dxa"/>
            <w:vAlign w:val="center"/>
          </w:tcPr>
          <w:p>
            <w:pPr>
              <w:jc w:val="center"/>
              <w:rPr>
                <w:color w:val="000000"/>
                <w:szCs w:val="21"/>
              </w:rPr>
            </w:pPr>
            <w:r>
              <w:rPr>
                <w:color w:val="000000"/>
                <w:szCs w:val="21"/>
              </w:rPr>
              <w:t>确保达标排放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977" w:type="dxa"/>
            <w:vMerge w:val="restart"/>
            <w:vAlign w:val="center"/>
          </w:tcPr>
          <w:p>
            <w:pPr>
              <w:jc w:val="center"/>
              <w:rPr>
                <w:color w:val="000000"/>
                <w:szCs w:val="21"/>
              </w:rPr>
            </w:pPr>
            <w:r>
              <w:rPr>
                <w:color w:val="000000"/>
                <w:szCs w:val="21"/>
              </w:rPr>
              <w:t>水</w:t>
            </w:r>
          </w:p>
          <w:p>
            <w:pPr>
              <w:jc w:val="center"/>
              <w:rPr>
                <w:color w:val="000000"/>
                <w:szCs w:val="21"/>
              </w:rPr>
            </w:pPr>
            <w:r>
              <w:rPr>
                <w:color w:val="000000"/>
                <w:szCs w:val="21"/>
              </w:rPr>
              <w:t>污</w:t>
            </w:r>
          </w:p>
          <w:p>
            <w:pPr>
              <w:jc w:val="center"/>
              <w:rPr>
                <w:color w:val="000000"/>
                <w:szCs w:val="21"/>
              </w:rPr>
            </w:pPr>
            <w:r>
              <w:rPr>
                <w:color w:val="000000"/>
                <w:szCs w:val="21"/>
              </w:rPr>
              <w:t>染</w:t>
            </w:r>
          </w:p>
          <w:p>
            <w:pPr>
              <w:jc w:val="center"/>
              <w:rPr>
                <w:color w:val="000000"/>
                <w:szCs w:val="21"/>
              </w:rPr>
            </w:pPr>
            <w:r>
              <w:rPr>
                <w:color w:val="000000"/>
                <w:szCs w:val="21"/>
              </w:rPr>
              <w:t>物</w:t>
            </w:r>
          </w:p>
        </w:tc>
        <w:tc>
          <w:tcPr>
            <w:tcW w:w="1336" w:type="dxa"/>
            <w:vMerge w:val="restart"/>
            <w:vAlign w:val="center"/>
          </w:tcPr>
          <w:p>
            <w:pPr>
              <w:jc w:val="center"/>
              <w:rPr>
                <w:color w:val="000000"/>
                <w:szCs w:val="21"/>
              </w:rPr>
            </w:pPr>
            <w:r>
              <w:rPr>
                <w:color w:val="000000"/>
                <w:szCs w:val="21"/>
              </w:rPr>
              <w:t>生活</w:t>
            </w:r>
          </w:p>
          <w:p>
            <w:pPr>
              <w:jc w:val="center"/>
              <w:rPr>
                <w:color w:val="000000"/>
                <w:szCs w:val="21"/>
              </w:rPr>
            </w:pPr>
            <w:r>
              <w:rPr>
                <w:color w:val="000000"/>
                <w:szCs w:val="21"/>
              </w:rPr>
              <w:t>污水</w:t>
            </w:r>
          </w:p>
        </w:tc>
        <w:tc>
          <w:tcPr>
            <w:tcW w:w="1367" w:type="dxa"/>
            <w:vAlign w:val="center"/>
          </w:tcPr>
          <w:p>
            <w:pPr>
              <w:jc w:val="center"/>
              <w:rPr>
                <w:color w:val="000000"/>
                <w:szCs w:val="21"/>
              </w:rPr>
            </w:pPr>
            <w:r>
              <w:rPr>
                <w:color w:val="000000"/>
                <w:szCs w:val="21"/>
              </w:rPr>
              <w:t>COD</w:t>
            </w:r>
          </w:p>
        </w:tc>
        <w:tc>
          <w:tcPr>
            <w:tcW w:w="2590" w:type="dxa"/>
            <w:vMerge w:val="restart"/>
            <w:vAlign w:val="center"/>
          </w:tcPr>
          <w:p>
            <w:pPr>
              <w:jc w:val="center"/>
              <w:rPr>
                <w:color w:val="000000"/>
                <w:szCs w:val="21"/>
              </w:rPr>
            </w:pPr>
            <w:r>
              <w:rPr>
                <w:color w:val="000000"/>
                <w:szCs w:val="21"/>
              </w:rPr>
              <w:t>生活废水经化粪池处理</w:t>
            </w:r>
          </w:p>
        </w:tc>
        <w:tc>
          <w:tcPr>
            <w:tcW w:w="2190" w:type="dxa"/>
            <w:vMerge w:val="restart"/>
            <w:vAlign w:val="center"/>
          </w:tcPr>
          <w:p>
            <w:pPr>
              <w:jc w:val="center"/>
              <w:rPr>
                <w:color w:val="000000"/>
                <w:kern w:val="0"/>
                <w:szCs w:val="21"/>
              </w:rPr>
            </w:pPr>
            <w:r>
              <w:rPr>
                <w:color w:val="000000"/>
                <w:szCs w:val="21"/>
              </w:rPr>
              <w:t>处理后的废水达到</w:t>
            </w:r>
            <w:r>
              <w:rPr>
                <w:rFonts w:hint="eastAsia"/>
                <w:color w:val="000000"/>
                <w:szCs w:val="21"/>
              </w:rPr>
              <w:t>城南</w:t>
            </w:r>
            <w:r>
              <w:rPr>
                <w:color w:val="000000"/>
                <w:szCs w:val="21"/>
              </w:rPr>
              <w:t>污水处理厂接管标准，废水由</w:t>
            </w:r>
            <w:r>
              <w:rPr>
                <w:rFonts w:hint="eastAsia"/>
                <w:color w:val="000000"/>
                <w:szCs w:val="21"/>
              </w:rPr>
              <w:t>城南</w:t>
            </w:r>
            <w:r>
              <w:rPr>
                <w:color w:val="000000"/>
                <w:szCs w:val="21"/>
              </w:rPr>
              <w:t>污水处理厂处理达到《城镇污水处理厂污染物排放标准》（GB18918-2002）表1一级A标准）排放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color w:val="000000"/>
                <w:szCs w:val="21"/>
              </w:rPr>
              <w:t>SS</w:t>
            </w:r>
          </w:p>
        </w:tc>
        <w:tc>
          <w:tcPr>
            <w:tcW w:w="2590" w:type="dxa"/>
            <w:vMerge w:val="continue"/>
            <w:vAlign w:val="center"/>
          </w:tcPr>
          <w:p>
            <w:pPr>
              <w:jc w:val="center"/>
              <w:rPr>
                <w:color w:val="000000"/>
                <w:szCs w:val="21"/>
              </w:rPr>
            </w:pPr>
          </w:p>
        </w:tc>
        <w:tc>
          <w:tcPr>
            <w:tcW w:w="2190" w:type="dxa"/>
            <w:vMerge w:val="continue"/>
            <w:vAlign w:val="center"/>
          </w:tcPr>
          <w:p>
            <w:pPr>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color w:val="000000"/>
                <w:szCs w:val="21"/>
              </w:rPr>
              <w:t>氨氮</w:t>
            </w:r>
          </w:p>
        </w:tc>
        <w:tc>
          <w:tcPr>
            <w:tcW w:w="2590" w:type="dxa"/>
            <w:vMerge w:val="continue"/>
            <w:vAlign w:val="center"/>
          </w:tcPr>
          <w:p>
            <w:pPr>
              <w:jc w:val="center"/>
              <w:rPr>
                <w:color w:val="000000"/>
                <w:szCs w:val="21"/>
              </w:rPr>
            </w:pPr>
          </w:p>
        </w:tc>
        <w:tc>
          <w:tcPr>
            <w:tcW w:w="2190" w:type="dxa"/>
            <w:vMerge w:val="continue"/>
            <w:vAlign w:val="center"/>
          </w:tcPr>
          <w:p>
            <w:pPr>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color w:val="000000"/>
                <w:szCs w:val="21"/>
              </w:rPr>
              <w:t>TP</w:t>
            </w:r>
          </w:p>
        </w:tc>
        <w:tc>
          <w:tcPr>
            <w:tcW w:w="2590" w:type="dxa"/>
            <w:vMerge w:val="continue"/>
            <w:vAlign w:val="center"/>
          </w:tcPr>
          <w:p>
            <w:pPr>
              <w:jc w:val="center"/>
              <w:rPr>
                <w:color w:val="000000"/>
                <w:szCs w:val="21"/>
              </w:rPr>
            </w:pPr>
          </w:p>
        </w:tc>
        <w:tc>
          <w:tcPr>
            <w:tcW w:w="2190" w:type="dxa"/>
            <w:vMerge w:val="continue"/>
            <w:vAlign w:val="center"/>
          </w:tcPr>
          <w:p>
            <w:pPr>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trPr>
        <w:tc>
          <w:tcPr>
            <w:tcW w:w="977" w:type="dxa"/>
            <w:vAlign w:val="center"/>
          </w:tcPr>
          <w:p>
            <w:pPr>
              <w:jc w:val="center"/>
              <w:rPr>
                <w:color w:val="000000"/>
                <w:szCs w:val="21"/>
              </w:rPr>
            </w:pPr>
            <w:r>
              <w:rPr>
                <w:color w:val="000000"/>
                <w:szCs w:val="21"/>
              </w:rPr>
              <w:t>电离辐射和电磁辐射</w:t>
            </w:r>
          </w:p>
        </w:tc>
        <w:tc>
          <w:tcPr>
            <w:tcW w:w="7483" w:type="dxa"/>
            <w:gridSpan w:val="4"/>
            <w:vAlign w:val="center"/>
          </w:tcPr>
          <w:p>
            <w:pPr>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977" w:type="dxa"/>
            <w:vMerge w:val="restart"/>
            <w:vAlign w:val="center"/>
          </w:tcPr>
          <w:p>
            <w:pPr>
              <w:jc w:val="center"/>
              <w:rPr>
                <w:color w:val="000000"/>
                <w:szCs w:val="21"/>
              </w:rPr>
            </w:pPr>
            <w:r>
              <w:rPr>
                <w:color w:val="000000"/>
                <w:szCs w:val="21"/>
              </w:rPr>
              <w:t>固</w:t>
            </w:r>
          </w:p>
          <w:p>
            <w:pPr>
              <w:jc w:val="center"/>
              <w:rPr>
                <w:color w:val="000000"/>
                <w:szCs w:val="21"/>
              </w:rPr>
            </w:pPr>
            <w:r>
              <w:rPr>
                <w:color w:val="000000"/>
                <w:szCs w:val="21"/>
              </w:rPr>
              <w:t>体</w:t>
            </w:r>
          </w:p>
          <w:p>
            <w:pPr>
              <w:jc w:val="center"/>
              <w:rPr>
                <w:color w:val="000000"/>
                <w:szCs w:val="21"/>
              </w:rPr>
            </w:pPr>
            <w:r>
              <w:rPr>
                <w:color w:val="000000"/>
                <w:szCs w:val="21"/>
              </w:rPr>
              <w:t>废</w:t>
            </w:r>
          </w:p>
          <w:p>
            <w:pPr>
              <w:jc w:val="center"/>
              <w:rPr>
                <w:color w:val="000000"/>
                <w:szCs w:val="21"/>
              </w:rPr>
            </w:pPr>
            <w:r>
              <w:rPr>
                <w:color w:val="000000"/>
                <w:szCs w:val="21"/>
              </w:rPr>
              <w:t>物</w:t>
            </w:r>
          </w:p>
        </w:tc>
        <w:tc>
          <w:tcPr>
            <w:tcW w:w="1336" w:type="dxa"/>
            <w:vMerge w:val="restart"/>
            <w:vAlign w:val="center"/>
          </w:tcPr>
          <w:p>
            <w:pPr>
              <w:jc w:val="center"/>
              <w:rPr>
                <w:color w:val="000000"/>
                <w:szCs w:val="21"/>
              </w:rPr>
            </w:pPr>
            <w:r>
              <w:rPr>
                <w:color w:val="000000"/>
                <w:szCs w:val="21"/>
              </w:rPr>
              <w:t>营运期</w:t>
            </w:r>
          </w:p>
        </w:tc>
        <w:tc>
          <w:tcPr>
            <w:tcW w:w="1367" w:type="dxa"/>
            <w:vAlign w:val="center"/>
          </w:tcPr>
          <w:p>
            <w:pPr>
              <w:jc w:val="center"/>
              <w:rPr>
                <w:color w:val="000000"/>
                <w:szCs w:val="21"/>
              </w:rPr>
            </w:pPr>
            <w:r>
              <w:rPr>
                <w:color w:val="000000"/>
                <w:szCs w:val="21"/>
              </w:rPr>
              <w:t>生活垃圾</w:t>
            </w:r>
          </w:p>
        </w:tc>
        <w:tc>
          <w:tcPr>
            <w:tcW w:w="2590" w:type="dxa"/>
            <w:vAlign w:val="center"/>
          </w:tcPr>
          <w:p>
            <w:pPr>
              <w:jc w:val="center"/>
              <w:rPr>
                <w:color w:val="000000"/>
                <w:szCs w:val="21"/>
              </w:rPr>
            </w:pPr>
            <w:r>
              <w:rPr>
                <w:color w:val="000000"/>
                <w:szCs w:val="21"/>
              </w:rPr>
              <w:t>环卫部门收集处理处置</w:t>
            </w:r>
          </w:p>
        </w:tc>
        <w:tc>
          <w:tcPr>
            <w:tcW w:w="2190" w:type="dxa"/>
            <w:vMerge w:val="restart"/>
            <w:vAlign w:val="center"/>
          </w:tcPr>
          <w:p>
            <w:pPr>
              <w:jc w:val="center"/>
              <w:rPr>
                <w:color w:val="000000"/>
                <w:szCs w:val="21"/>
              </w:rPr>
            </w:pPr>
            <w:r>
              <w:rPr>
                <w:color w:val="000000"/>
                <w:szCs w:val="21"/>
              </w:rPr>
              <w:t>固废零排放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rFonts w:hint="eastAsia"/>
                <w:color w:val="000000"/>
                <w:szCs w:val="21"/>
              </w:rPr>
              <w:t>办公垃圾</w:t>
            </w:r>
          </w:p>
        </w:tc>
        <w:tc>
          <w:tcPr>
            <w:tcW w:w="2590" w:type="dxa"/>
            <w:vAlign w:val="center"/>
          </w:tcPr>
          <w:p>
            <w:pPr>
              <w:jc w:val="center"/>
              <w:rPr>
                <w:color w:val="000000"/>
                <w:szCs w:val="21"/>
              </w:rPr>
            </w:pPr>
            <w:r>
              <w:rPr>
                <w:rFonts w:hint="eastAsia"/>
                <w:color w:val="000000"/>
                <w:szCs w:val="21"/>
              </w:rPr>
              <w:t>收集后出售</w:t>
            </w:r>
          </w:p>
        </w:tc>
        <w:tc>
          <w:tcPr>
            <w:tcW w:w="2190" w:type="dxa"/>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rFonts w:hint="eastAsia"/>
                <w:color w:val="000000"/>
                <w:szCs w:val="21"/>
              </w:rPr>
              <w:t>废包装</w:t>
            </w:r>
          </w:p>
        </w:tc>
        <w:tc>
          <w:tcPr>
            <w:tcW w:w="2590" w:type="dxa"/>
            <w:vAlign w:val="center"/>
          </w:tcPr>
          <w:p>
            <w:pPr>
              <w:jc w:val="center"/>
              <w:rPr>
                <w:color w:val="000000"/>
                <w:szCs w:val="21"/>
              </w:rPr>
            </w:pPr>
            <w:r>
              <w:rPr>
                <w:rFonts w:hint="eastAsia"/>
                <w:color w:val="000000"/>
                <w:szCs w:val="21"/>
              </w:rPr>
              <w:t>收集后出售</w:t>
            </w:r>
          </w:p>
        </w:tc>
        <w:tc>
          <w:tcPr>
            <w:tcW w:w="2190" w:type="dxa"/>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trPr>
        <w:tc>
          <w:tcPr>
            <w:tcW w:w="977" w:type="dxa"/>
            <w:vMerge w:val="continue"/>
            <w:vAlign w:val="center"/>
          </w:tcPr>
          <w:p>
            <w:pPr>
              <w:jc w:val="center"/>
              <w:rPr>
                <w:color w:val="000000"/>
                <w:szCs w:val="21"/>
              </w:rPr>
            </w:pPr>
          </w:p>
        </w:tc>
        <w:tc>
          <w:tcPr>
            <w:tcW w:w="1336" w:type="dxa"/>
            <w:vMerge w:val="continue"/>
            <w:vAlign w:val="center"/>
          </w:tcPr>
          <w:p>
            <w:pPr>
              <w:jc w:val="center"/>
              <w:rPr>
                <w:color w:val="000000"/>
                <w:szCs w:val="21"/>
              </w:rPr>
            </w:pPr>
          </w:p>
        </w:tc>
        <w:tc>
          <w:tcPr>
            <w:tcW w:w="1367" w:type="dxa"/>
            <w:vAlign w:val="center"/>
          </w:tcPr>
          <w:p>
            <w:pPr>
              <w:jc w:val="center"/>
              <w:rPr>
                <w:color w:val="000000"/>
                <w:szCs w:val="21"/>
              </w:rPr>
            </w:pPr>
            <w:r>
              <w:rPr>
                <w:rFonts w:hint="eastAsia"/>
                <w:color w:val="000000"/>
                <w:szCs w:val="21"/>
              </w:rPr>
              <w:t>废机油</w:t>
            </w:r>
          </w:p>
        </w:tc>
        <w:tc>
          <w:tcPr>
            <w:tcW w:w="2590" w:type="dxa"/>
            <w:vAlign w:val="center"/>
          </w:tcPr>
          <w:p>
            <w:pPr>
              <w:jc w:val="center"/>
              <w:rPr>
                <w:color w:val="000000"/>
                <w:szCs w:val="21"/>
              </w:rPr>
            </w:pPr>
            <w:r>
              <w:rPr>
                <w:rFonts w:hint="eastAsia"/>
                <w:color w:val="000000"/>
                <w:szCs w:val="21"/>
              </w:rPr>
              <w:t>委托南京市孝武润滑油添加剂经营部处理</w:t>
            </w:r>
          </w:p>
        </w:tc>
        <w:tc>
          <w:tcPr>
            <w:tcW w:w="2190" w:type="dxa"/>
            <w:vMerge w:val="continue"/>
            <w:vAlign w:val="center"/>
          </w:tcPr>
          <w:p>
            <w:pPr>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3" w:hRule="atLeast"/>
        </w:trPr>
        <w:tc>
          <w:tcPr>
            <w:tcW w:w="977" w:type="dxa"/>
            <w:vAlign w:val="center"/>
          </w:tcPr>
          <w:p>
            <w:pPr>
              <w:jc w:val="center"/>
              <w:rPr>
                <w:color w:val="000000"/>
                <w:szCs w:val="21"/>
              </w:rPr>
            </w:pPr>
            <w:r>
              <w:rPr>
                <w:color w:val="000000"/>
                <w:szCs w:val="21"/>
              </w:rPr>
              <w:t>噪</w:t>
            </w:r>
          </w:p>
          <w:p>
            <w:pPr>
              <w:jc w:val="center"/>
              <w:rPr>
                <w:color w:val="000000"/>
                <w:szCs w:val="21"/>
              </w:rPr>
            </w:pPr>
            <w:r>
              <w:rPr>
                <w:color w:val="000000"/>
                <w:szCs w:val="21"/>
              </w:rPr>
              <w:t>声</w:t>
            </w:r>
          </w:p>
        </w:tc>
        <w:tc>
          <w:tcPr>
            <w:tcW w:w="1336" w:type="dxa"/>
            <w:vAlign w:val="center"/>
          </w:tcPr>
          <w:p>
            <w:pPr>
              <w:jc w:val="center"/>
              <w:rPr>
                <w:color w:val="000000"/>
                <w:szCs w:val="21"/>
              </w:rPr>
            </w:pPr>
            <w:r>
              <w:rPr>
                <w:color w:val="000000"/>
                <w:szCs w:val="21"/>
              </w:rPr>
              <w:t>水泵、</w:t>
            </w:r>
            <w:r>
              <w:rPr>
                <w:rFonts w:hint="eastAsia"/>
                <w:color w:val="000000"/>
                <w:szCs w:val="21"/>
              </w:rPr>
              <w:t>叉车</w:t>
            </w:r>
            <w:r>
              <w:rPr>
                <w:color w:val="000000"/>
                <w:szCs w:val="21"/>
              </w:rPr>
              <w:t>、空调设备等噪声</w:t>
            </w:r>
          </w:p>
        </w:tc>
        <w:tc>
          <w:tcPr>
            <w:tcW w:w="1367" w:type="dxa"/>
            <w:vAlign w:val="center"/>
          </w:tcPr>
          <w:p>
            <w:pPr>
              <w:jc w:val="center"/>
              <w:rPr>
                <w:color w:val="000000"/>
                <w:szCs w:val="21"/>
              </w:rPr>
            </w:pPr>
            <w:r>
              <w:rPr>
                <w:color w:val="000000"/>
                <w:szCs w:val="21"/>
              </w:rPr>
              <w:t>噪声</w:t>
            </w:r>
          </w:p>
        </w:tc>
        <w:tc>
          <w:tcPr>
            <w:tcW w:w="2590" w:type="dxa"/>
            <w:vAlign w:val="center"/>
          </w:tcPr>
          <w:p>
            <w:pPr>
              <w:jc w:val="center"/>
              <w:rPr>
                <w:color w:val="000000"/>
                <w:szCs w:val="21"/>
              </w:rPr>
            </w:pPr>
            <w:r>
              <w:rPr>
                <w:color w:val="000000"/>
                <w:szCs w:val="21"/>
              </w:rPr>
              <w:t>选用警示牌、绿化降噪等</w:t>
            </w:r>
          </w:p>
        </w:tc>
        <w:tc>
          <w:tcPr>
            <w:tcW w:w="2190" w:type="dxa"/>
            <w:vAlign w:val="center"/>
          </w:tcPr>
          <w:p>
            <w:pPr>
              <w:jc w:val="center"/>
              <w:rPr>
                <w:color w:val="000000"/>
                <w:szCs w:val="21"/>
              </w:rPr>
            </w:pPr>
            <w:r>
              <w:rPr>
                <w:color w:val="000000"/>
                <w:szCs w:val="21"/>
              </w:rPr>
              <w:t>场界达到《工业企业厂界环境噪声排放标准》（GB12348－2008）3类标准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9" w:hRule="atLeast"/>
        </w:trPr>
        <w:tc>
          <w:tcPr>
            <w:tcW w:w="977" w:type="dxa"/>
            <w:vAlign w:val="center"/>
          </w:tcPr>
          <w:p>
            <w:pPr>
              <w:jc w:val="center"/>
              <w:rPr>
                <w:color w:val="000000"/>
                <w:szCs w:val="21"/>
              </w:rPr>
            </w:pPr>
            <w:r>
              <w:rPr>
                <w:color w:val="000000"/>
                <w:szCs w:val="21"/>
              </w:rPr>
              <w:t>其他</w:t>
            </w:r>
          </w:p>
        </w:tc>
        <w:tc>
          <w:tcPr>
            <w:tcW w:w="7483" w:type="dxa"/>
            <w:gridSpan w:val="4"/>
            <w:vAlign w:val="center"/>
          </w:tcPr>
          <w:p>
            <w:pPr>
              <w:jc w:val="center"/>
              <w:rPr>
                <w:color w:val="000000"/>
                <w:szCs w:val="21"/>
              </w:rPr>
            </w:pPr>
            <w:r>
              <w:rPr>
                <w:color w:val="000000"/>
                <w:szCs w:val="21"/>
              </w:rPr>
              <w:t>排污口规范化设计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59" w:hRule="atLeast"/>
        </w:trPr>
        <w:tc>
          <w:tcPr>
            <w:tcW w:w="977" w:type="dxa"/>
            <w:vAlign w:val="center"/>
          </w:tcPr>
          <w:p>
            <w:pPr>
              <w:jc w:val="center"/>
              <w:rPr>
                <w:color w:val="000000"/>
                <w:szCs w:val="21"/>
              </w:rPr>
            </w:pPr>
            <w:r>
              <w:rPr>
                <w:color w:val="000000"/>
                <w:szCs w:val="21"/>
              </w:rPr>
              <w:t>生态</w:t>
            </w:r>
          </w:p>
        </w:tc>
        <w:tc>
          <w:tcPr>
            <w:tcW w:w="7483" w:type="dxa"/>
            <w:gridSpan w:val="4"/>
            <w:vAlign w:val="center"/>
          </w:tcPr>
          <w:p>
            <w:pPr>
              <w:spacing w:line="360" w:lineRule="auto"/>
              <w:jc w:val="center"/>
              <w:rPr>
                <w:rFonts w:hint="eastAsia"/>
                <w:b/>
                <w:color w:val="000000"/>
                <w:szCs w:val="21"/>
              </w:rPr>
            </w:pPr>
          </w:p>
          <w:p>
            <w:pPr>
              <w:spacing w:line="360" w:lineRule="auto"/>
              <w:jc w:val="center"/>
              <w:rPr>
                <w:b/>
                <w:color w:val="000000"/>
                <w:szCs w:val="21"/>
              </w:rPr>
            </w:pPr>
            <w:r>
              <w:rPr>
                <w:b/>
                <w:color w:val="000000"/>
                <w:szCs w:val="21"/>
              </w:rPr>
              <w:t>生态保护措施及预期效果：</w:t>
            </w:r>
          </w:p>
          <w:p>
            <w:pPr>
              <w:spacing w:line="360" w:lineRule="auto"/>
              <w:jc w:val="center"/>
              <w:rPr>
                <w:color w:val="000000"/>
                <w:szCs w:val="21"/>
              </w:rPr>
            </w:pPr>
            <w:r>
              <w:rPr>
                <w:color w:val="000000"/>
                <w:szCs w:val="21"/>
              </w:rPr>
              <w:t>项目用地现状为净地，建成后绿化面积</w:t>
            </w:r>
            <w:r>
              <w:rPr>
                <w:szCs w:val="21"/>
              </w:rPr>
              <w:t>约为</w:t>
            </w:r>
            <w:r>
              <w:rPr>
                <w:rFonts w:hint="eastAsia"/>
                <w:kern w:val="0"/>
                <w:szCs w:val="21"/>
              </w:rPr>
              <w:t>66220.4</w:t>
            </w:r>
            <w:r>
              <w:rPr>
                <w:szCs w:val="21"/>
              </w:rPr>
              <w:t>m</w:t>
            </w:r>
            <w:r>
              <w:rPr>
                <w:szCs w:val="21"/>
                <w:vertAlign w:val="superscript"/>
              </w:rPr>
              <w:t>2</w:t>
            </w:r>
            <w:r>
              <w:rPr>
                <w:szCs w:val="21"/>
              </w:rPr>
              <w:t>，能够在一定</w:t>
            </w:r>
            <w:r>
              <w:rPr>
                <w:color w:val="000000"/>
                <w:szCs w:val="21"/>
              </w:rPr>
              <w:t>程度上改善区域生态环境质量，美化环境。</w:t>
            </w:r>
          </w:p>
          <w:p>
            <w:pPr>
              <w:spacing w:line="360" w:lineRule="auto"/>
              <w:jc w:val="center"/>
              <w:rPr>
                <w:color w:val="000000"/>
                <w:szCs w:val="21"/>
              </w:rPr>
            </w:pPr>
          </w:p>
        </w:tc>
      </w:tr>
    </w:tbl>
    <w:p>
      <w:pPr>
        <w:spacing w:line="440" w:lineRule="exact"/>
        <w:jc w:val="center"/>
        <w:rPr>
          <w:color w:val="000000"/>
          <w:sz w:val="24"/>
        </w:rPr>
        <w:sectPr>
          <w:pgSz w:w="11906" w:h="16838"/>
          <w:pgMar w:top="1440" w:right="1701" w:bottom="1440" w:left="1701" w:header="851" w:footer="992" w:gutter="0"/>
          <w:cols w:space="720" w:num="1"/>
          <w:titlePg/>
          <w:docGrid w:type="lines" w:linePitch="312" w:charSpace="0"/>
        </w:sectPr>
      </w:pPr>
    </w:p>
    <w:p>
      <w:pPr>
        <w:spacing w:line="440" w:lineRule="exact"/>
        <w:jc w:val="center"/>
        <w:rPr>
          <w:b/>
          <w:bCs/>
          <w:kern w:val="0"/>
          <w:sz w:val="24"/>
        </w:rPr>
      </w:pPr>
      <w:r>
        <w:rPr>
          <w:b/>
          <w:sz w:val="24"/>
        </w:rPr>
        <w:t>表</w:t>
      </w:r>
      <w:r>
        <w:rPr>
          <w:rFonts w:hint="eastAsia"/>
          <w:b/>
          <w:sz w:val="24"/>
        </w:rPr>
        <w:t>9-1</w:t>
      </w:r>
      <w:r>
        <w:rPr>
          <w:b/>
          <w:sz w:val="24"/>
        </w:rPr>
        <w:t xml:space="preserve">  </w:t>
      </w:r>
      <w:r>
        <w:rPr>
          <w:b/>
          <w:bCs/>
          <w:kern w:val="0"/>
          <w:sz w:val="24"/>
        </w:rPr>
        <w:t>项目“三同时”验收一览表  （单位：万元）</w:t>
      </w:r>
    </w:p>
    <w:tbl>
      <w:tblPr>
        <w:tblStyle w:val="33"/>
        <w:tblW w:w="136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702"/>
        <w:gridCol w:w="2099"/>
        <w:gridCol w:w="3486"/>
        <w:gridCol w:w="2333"/>
        <w:gridCol w:w="1535"/>
        <w:gridCol w:w="39"/>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153" w:type="dxa"/>
            <w:vAlign w:val="center"/>
          </w:tcPr>
          <w:p>
            <w:pPr>
              <w:spacing w:line="280" w:lineRule="exact"/>
              <w:jc w:val="center"/>
              <w:rPr>
                <w:b/>
                <w:color w:val="000000"/>
                <w:szCs w:val="21"/>
              </w:rPr>
            </w:pPr>
            <w:r>
              <w:rPr>
                <w:b/>
                <w:color w:val="000000"/>
                <w:szCs w:val="21"/>
              </w:rPr>
              <w:t>项目名称</w:t>
            </w:r>
          </w:p>
        </w:tc>
        <w:tc>
          <w:tcPr>
            <w:tcW w:w="12513" w:type="dxa"/>
            <w:gridSpan w:val="7"/>
            <w:vAlign w:val="center"/>
          </w:tcPr>
          <w:p>
            <w:pPr>
              <w:spacing w:line="280" w:lineRule="exact"/>
              <w:jc w:val="center"/>
              <w:rPr>
                <w:b/>
                <w:color w:val="000000"/>
                <w:szCs w:val="21"/>
              </w:rPr>
            </w:pPr>
            <w:r>
              <w:rPr>
                <w:b/>
                <w:color w:val="000000"/>
                <w:szCs w:val="21"/>
              </w:rPr>
              <w:t>南京鼎邦网络科技有限公司</w:t>
            </w:r>
            <w:r>
              <w:rPr>
                <w:rFonts w:hint="eastAsia"/>
                <w:b/>
                <w:color w:val="000000"/>
                <w:szCs w:val="21"/>
              </w:rPr>
              <w:t>雨花物流自动化二期</w:t>
            </w:r>
            <w:r>
              <w:rPr>
                <w:b/>
                <w:color w:val="000000"/>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1153" w:type="dxa"/>
            <w:vAlign w:val="center"/>
          </w:tcPr>
          <w:p>
            <w:pPr>
              <w:spacing w:line="280" w:lineRule="exact"/>
              <w:jc w:val="center"/>
              <w:rPr>
                <w:b/>
                <w:color w:val="000000"/>
                <w:szCs w:val="21"/>
              </w:rPr>
            </w:pPr>
            <w:r>
              <w:rPr>
                <w:b/>
                <w:color w:val="000000"/>
                <w:szCs w:val="21"/>
              </w:rPr>
              <w:t>类别</w:t>
            </w:r>
          </w:p>
        </w:tc>
        <w:tc>
          <w:tcPr>
            <w:tcW w:w="1702" w:type="dxa"/>
            <w:vAlign w:val="center"/>
          </w:tcPr>
          <w:p>
            <w:pPr>
              <w:spacing w:line="280" w:lineRule="exact"/>
              <w:jc w:val="center"/>
              <w:rPr>
                <w:b/>
                <w:color w:val="000000"/>
                <w:szCs w:val="21"/>
              </w:rPr>
            </w:pPr>
            <w:r>
              <w:rPr>
                <w:b/>
                <w:color w:val="000000"/>
                <w:szCs w:val="21"/>
              </w:rPr>
              <w:t>污染源</w:t>
            </w:r>
          </w:p>
        </w:tc>
        <w:tc>
          <w:tcPr>
            <w:tcW w:w="2099" w:type="dxa"/>
            <w:vAlign w:val="center"/>
          </w:tcPr>
          <w:p>
            <w:pPr>
              <w:spacing w:line="280" w:lineRule="exact"/>
              <w:jc w:val="center"/>
              <w:rPr>
                <w:b/>
                <w:color w:val="000000"/>
                <w:szCs w:val="21"/>
              </w:rPr>
            </w:pPr>
            <w:r>
              <w:rPr>
                <w:b/>
                <w:color w:val="000000"/>
                <w:szCs w:val="21"/>
              </w:rPr>
              <w:t>污染物</w:t>
            </w:r>
          </w:p>
        </w:tc>
        <w:tc>
          <w:tcPr>
            <w:tcW w:w="3486" w:type="dxa"/>
            <w:vAlign w:val="center"/>
          </w:tcPr>
          <w:p>
            <w:pPr>
              <w:spacing w:line="280" w:lineRule="exact"/>
              <w:jc w:val="center"/>
              <w:rPr>
                <w:b/>
                <w:color w:val="000000"/>
                <w:szCs w:val="21"/>
              </w:rPr>
            </w:pPr>
            <w:r>
              <w:rPr>
                <w:b/>
                <w:color w:val="000000"/>
                <w:szCs w:val="21"/>
              </w:rPr>
              <w:t>治理措施</w:t>
            </w:r>
          </w:p>
        </w:tc>
        <w:tc>
          <w:tcPr>
            <w:tcW w:w="2333" w:type="dxa"/>
            <w:vAlign w:val="center"/>
          </w:tcPr>
          <w:p>
            <w:pPr>
              <w:spacing w:line="280" w:lineRule="exact"/>
              <w:jc w:val="center"/>
              <w:rPr>
                <w:b/>
                <w:color w:val="000000"/>
                <w:szCs w:val="21"/>
              </w:rPr>
            </w:pPr>
            <w:r>
              <w:rPr>
                <w:b/>
                <w:color w:val="000000"/>
                <w:szCs w:val="21"/>
              </w:rPr>
              <w:t>处理效果</w:t>
            </w:r>
          </w:p>
        </w:tc>
        <w:tc>
          <w:tcPr>
            <w:tcW w:w="1535" w:type="dxa"/>
            <w:vAlign w:val="center"/>
          </w:tcPr>
          <w:p>
            <w:pPr>
              <w:spacing w:line="280" w:lineRule="exact"/>
              <w:jc w:val="center"/>
              <w:rPr>
                <w:b/>
                <w:color w:val="000000"/>
                <w:szCs w:val="21"/>
              </w:rPr>
            </w:pPr>
            <w:r>
              <w:rPr>
                <w:b/>
                <w:color w:val="000000"/>
                <w:szCs w:val="21"/>
              </w:rPr>
              <w:t>投资额/万元</w:t>
            </w:r>
          </w:p>
        </w:tc>
        <w:tc>
          <w:tcPr>
            <w:tcW w:w="1358" w:type="dxa"/>
            <w:gridSpan w:val="2"/>
            <w:vAlign w:val="center"/>
          </w:tcPr>
          <w:p>
            <w:pPr>
              <w:spacing w:line="280" w:lineRule="exact"/>
              <w:jc w:val="center"/>
              <w:rPr>
                <w:b/>
                <w:color w:val="000000"/>
                <w:szCs w:val="21"/>
              </w:rPr>
            </w:pPr>
            <w:r>
              <w:rPr>
                <w:b/>
                <w:color w:val="000000"/>
                <w:szCs w:val="21"/>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6" w:hRule="atLeast"/>
          <w:jc w:val="center"/>
        </w:trPr>
        <w:tc>
          <w:tcPr>
            <w:tcW w:w="1153" w:type="dxa"/>
            <w:vAlign w:val="center"/>
          </w:tcPr>
          <w:p>
            <w:pPr>
              <w:spacing w:line="280" w:lineRule="exact"/>
              <w:jc w:val="center"/>
              <w:rPr>
                <w:color w:val="000000"/>
                <w:szCs w:val="21"/>
              </w:rPr>
            </w:pPr>
            <w:r>
              <w:rPr>
                <w:color w:val="000000"/>
                <w:szCs w:val="21"/>
              </w:rPr>
              <w:t>废水</w:t>
            </w:r>
          </w:p>
        </w:tc>
        <w:tc>
          <w:tcPr>
            <w:tcW w:w="1702" w:type="dxa"/>
            <w:vAlign w:val="center"/>
          </w:tcPr>
          <w:p>
            <w:pPr>
              <w:spacing w:line="280" w:lineRule="exact"/>
              <w:jc w:val="center"/>
              <w:rPr>
                <w:color w:val="000000"/>
                <w:szCs w:val="21"/>
              </w:rPr>
            </w:pPr>
            <w:r>
              <w:rPr>
                <w:color w:val="000000"/>
                <w:szCs w:val="21"/>
              </w:rPr>
              <w:t>生活污水</w:t>
            </w:r>
          </w:p>
        </w:tc>
        <w:tc>
          <w:tcPr>
            <w:tcW w:w="2099" w:type="dxa"/>
            <w:vAlign w:val="center"/>
          </w:tcPr>
          <w:p>
            <w:pPr>
              <w:spacing w:line="280" w:lineRule="exact"/>
              <w:jc w:val="center"/>
              <w:rPr>
                <w:color w:val="000000"/>
                <w:szCs w:val="21"/>
              </w:rPr>
            </w:pPr>
            <w:r>
              <w:rPr>
                <w:color w:val="000000"/>
                <w:szCs w:val="21"/>
              </w:rPr>
              <w:t>COD、SS、氨氮、总磷</w:t>
            </w:r>
          </w:p>
        </w:tc>
        <w:tc>
          <w:tcPr>
            <w:tcW w:w="3486" w:type="dxa"/>
            <w:vAlign w:val="center"/>
          </w:tcPr>
          <w:p>
            <w:pPr>
              <w:spacing w:line="280" w:lineRule="exact"/>
              <w:jc w:val="center"/>
              <w:rPr>
                <w:color w:val="000000"/>
                <w:szCs w:val="21"/>
              </w:rPr>
            </w:pPr>
            <w:r>
              <w:rPr>
                <w:rFonts w:hint="eastAsia"/>
                <w:color w:val="000000"/>
                <w:szCs w:val="21"/>
              </w:rPr>
              <w:t>雨污分流，</w:t>
            </w:r>
            <w:r>
              <w:rPr>
                <w:color w:val="000000"/>
                <w:szCs w:val="21"/>
              </w:rPr>
              <w:t>生活废水经化粪池处理</w:t>
            </w:r>
          </w:p>
        </w:tc>
        <w:tc>
          <w:tcPr>
            <w:tcW w:w="2333" w:type="dxa"/>
            <w:vAlign w:val="center"/>
          </w:tcPr>
          <w:p>
            <w:pPr>
              <w:spacing w:line="280" w:lineRule="exact"/>
              <w:jc w:val="center"/>
              <w:rPr>
                <w:szCs w:val="21"/>
              </w:rPr>
            </w:pPr>
            <w:r>
              <w:rPr>
                <w:bCs/>
                <w:snapToGrid w:val="0"/>
                <w:kern w:val="0"/>
                <w:szCs w:val="21"/>
              </w:rPr>
              <w:t>确保达</w:t>
            </w:r>
            <w:r>
              <w:rPr>
                <w:rFonts w:hint="eastAsia"/>
                <w:bCs/>
                <w:snapToGrid w:val="0"/>
                <w:kern w:val="0"/>
                <w:szCs w:val="21"/>
              </w:rPr>
              <w:t>城南</w:t>
            </w:r>
            <w:r>
              <w:rPr>
                <w:bCs/>
                <w:snapToGrid w:val="0"/>
                <w:kern w:val="0"/>
                <w:szCs w:val="21"/>
              </w:rPr>
              <w:t>污水处理厂接管标准</w:t>
            </w:r>
          </w:p>
        </w:tc>
        <w:tc>
          <w:tcPr>
            <w:tcW w:w="1535" w:type="dxa"/>
            <w:vAlign w:val="center"/>
          </w:tcPr>
          <w:p>
            <w:pPr>
              <w:spacing w:line="280" w:lineRule="exact"/>
              <w:jc w:val="center"/>
              <w:rPr>
                <w:szCs w:val="21"/>
              </w:rPr>
            </w:pPr>
            <w:r>
              <w:rPr>
                <w:rFonts w:hint="eastAsia"/>
                <w:szCs w:val="21"/>
              </w:rPr>
              <w:t>35</w:t>
            </w:r>
          </w:p>
        </w:tc>
        <w:tc>
          <w:tcPr>
            <w:tcW w:w="1358" w:type="dxa"/>
            <w:gridSpan w:val="2"/>
            <w:vMerge w:val="restart"/>
            <w:vAlign w:val="center"/>
          </w:tcPr>
          <w:p>
            <w:pPr>
              <w:spacing w:line="280" w:lineRule="exact"/>
              <w:jc w:val="center"/>
              <w:rPr>
                <w:color w:val="000000"/>
                <w:szCs w:val="21"/>
              </w:rPr>
            </w:pPr>
            <w:r>
              <w:rPr>
                <w:color w:val="000000"/>
                <w:szCs w:val="21"/>
              </w:rPr>
              <w:t>与建设项目同时设计、施工、</w:t>
            </w:r>
          </w:p>
          <w:p>
            <w:pPr>
              <w:spacing w:line="280" w:lineRule="exact"/>
              <w:jc w:val="center"/>
              <w:rPr>
                <w:color w:val="000000"/>
                <w:szCs w:val="21"/>
              </w:rPr>
            </w:pPr>
            <w:r>
              <w:rPr>
                <w:color w:val="000000"/>
                <w:szCs w:val="21"/>
              </w:rPr>
              <w:t>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3" w:hRule="atLeast"/>
          <w:jc w:val="center"/>
        </w:trPr>
        <w:tc>
          <w:tcPr>
            <w:tcW w:w="1153" w:type="dxa"/>
            <w:vAlign w:val="center"/>
          </w:tcPr>
          <w:p>
            <w:pPr>
              <w:spacing w:line="280" w:lineRule="exact"/>
              <w:jc w:val="center"/>
              <w:rPr>
                <w:color w:val="000000"/>
                <w:szCs w:val="21"/>
              </w:rPr>
            </w:pPr>
            <w:r>
              <w:rPr>
                <w:color w:val="000000"/>
                <w:szCs w:val="21"/>
              </w:rPr>
              <w:t>噪声</w:t>
            </w:r>
          </w:p>
        </w:tc>
        <w:tc>
          <w:tcPr>
            <w:tcW w:w="1702" w:type="dxa"/>
            <w:vAlign w:val="center"/>
          </w:tcPr>
          <w:p>
            <w:pPr>
              <w:spacing w:line="280" w:lineRule="exact"/>
              <w:jc w:val="center"/>
              <w:rPr>
                <w:spacing w:val="-6"/>
                <w:szCs w:val="21"/>
              </w:rPr>
            </w:pPr>
            <w:r>
              <w:rPr>
                <w:rFonts w:hint="eastAsia"/>
                <w:spacing w:val="-6"/>
                <w:szCs w:val="21"/>
              </w:rPr>
              <w:t>叉车、空调外机组</w:t>
            </w:r>
            <w:r>
              <w:rPr>
                <w:spacing w:val="-6"/>
                <w:szCs w:val="21"/>
              </w:rPr>
              <w:t>、水泵等噪声</w:t>
            </w:r>
          </w:p>
        </w:tc>
        <w:tc>
          <w:tcPr>
            <w:tcW w:w="2099" w:type="dxa"/>
            <w:vAlign w:val="center"/>
          </w:tcPr>
          <w:p>
            <w:pPr>
              <w:spacing w:line="280" w:lineRule="exact"/>
              <w:jc w:val="center"/>
              <w:rPr>
                <w:szCs w:val="21"/>
              </w:rPr>
            </w:pPr>
            <w:r>
              <w:rPr>
                <w:szCs w:val="21"/>
              </w:rPr>
              <w:t>噪声</w:t>
            </w:r>
          </w:p>
        </w:tc>
        <w:tc>
          <w:tcPr>
            <w:tcW w:w="3486" w:type="dxa"/>
            <w:vAlign w:val="center"/>
          </w:tcPr>
          <w:p>
            <w:pPr>
              <w:spacing w:line="280" w:lineRule="exact"/>
              <w:jc w:val="center"/>
              <w:rPr>
                <w:szCs w:val="21"/>
              </w:rPr>
            </w:pPr>
            <w:r>
              <w:rPr>
                <w:szCs w:val="21"/>
              </w:rPr>
              <w:t>减振、消声、隔声等</w:t>
            </w:r>
          </w:p>
        </w:tc>
        <w:tc>
          <w:tcPr>
            <w:tcW w:w="2333" w:type="dxa"/>
            <w:vAlign w:val="center"/>
          </w:tcPr>
          <w:p>
            <w:pPr>
              <w:spacing w:line="280" w:lineRule="exact"/>
              <w:jc w:val="center"/>
              <w:rPr>
                <w:szCs w:val="21"/>
              </w:rPr>
            </w:pPr>
            <w:r>
              <w:rPr>
                <w:szCs w:val="21"/>
              </w:rPr>
              <w:t>场界噪声达标</w:t>
            </w:r>
          </w:p>
        </w:tc>
        <w:tc>
          <w:tcPr>
            <w:tcW w:w="1535" w:type="dxa"/>
            <w:vAlign w:val="center"/>
          </w:tcPr>
          <w:p>
            <w:pPr>
              <w:spacing w:line="280" w:lineRule="exact"/>
              <w:jc w:val="center"/>
              <w:rPr>
                <w:szCs w:val="21"/>
              </w:rPr>
            </w:pPr>
            <w:r>
              <w:rPr>
                <w:szCs w:val="21"/>
              </w:rPr>
              <w:t>10</w:t>
            </w:r>
          </w:p>
        </w:tc>
        <w:tc>
          <w:tcPr>
            <w:tcW w:w="1358" w:type="dxa"/>
            <w:gridSpan w:val="2"/>
            <w:vMerge w:val="continue"/>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1" w:hRule="atLeast"/>
          <w:jc w:val="center"/>
        </w:trPr>
        <w:tc>
          <w:tcPr>
            <w:tcW w:w="1153" w:type="dxa"/>
            <w:vMerge w:val="restart"/>
            <w:vAlign w:val="center"/>
          </w:tcPr>
          <w:p>
            <w:pPr>
              <w:spacing w:line="280" w:lineRule="exact"/>
              <w:jc w:val="center"/>
              <w:rPr>
                <w:color w:val="000000"/>
                <w:szCs w:val="21"/>
              </w:rPr>
            </w:pPr>
            <w:r>
              <w:rPr>
                <w:color w:val="000000"/>
                <w:szCs w:val="21"/>
              </w:rPr>
              <w:t>固废</w:t>
            </w:r>
          </w:p>
        </w:tc>
        <w:tc>
          <w:tcPr>
            <w:tcW w:w="1702" w:type="dxa"/>
            <w:vMerge w:val="restart"/>
            <w:vAlign w:val="center"/>
          </w:tcPr>
          <w:p>
            <w:pPr>
              <w:spacing w:line="280" w:lineRule="exact"/>
              <w:jc w:val="center"/>
              <w:rPr>
                <w:color w:val="000000"/>
                <w:szCs w:val="21"/>
              </w:rPr>
            </w:pPr>
            <w:r>
              <w:rPr>
                <w:color w:val="000000"/>
                <w:szCs w:val="21"/>
              </w:rPr>
              <w:t>运营期</w:t>
            </w:r>
          </w:p>
        </w:tc>
        <w:tc>
          <w:tcPr>
            <w:tcW w:w="2099" w:type="dxa"/>
            <w:vAlign w:val="center"/>
          </w:tcPr>
          <w:p>
            <w:pPr>
              <w:tabs>
                <w:tab w:val="left" w:pos="7513"/>
              </w:tabs>
              <w:spacing w:line="280" w:lineRule="exact"/>
              <w:jc w:val="center"/>
              <w:rPr>
                <w:color w:val="000000"/>
                <w:szCs w:val="21"/>
              </w:rPr>
            </w:pPr>
            <w:r>
              <w:rPr>
                <w:color w:val="000000"/>
                <w:szCs w:val="21"/>
              </w:rPr>
              <w:t>生活垃圾</w:t>
            </w:r>
          </w:p>
        </w:tc>
        <w:tc>
          <w:tcPr>
            <w:tcW w:w="3486" w:type="dxa"/>
            <w:vAlign w:val="center"/>
          </w:tcPr>
          <w:p>
            <w:pPr>
              <w:spacing w:line="280" w:lineRule="exact"/>
              <w:jc w:val="center"/>
              <w:rPr>
                <w:color w:val="000000"/>
                <w:szCs w:val="21"/>
              </w:rPr>
            </w:pPr>
            <w:r>
              <w:rPr>
                <w:color w:val="000000"/>
                <w:szCs w:val="21"/>
              </w:rPr>
              <w:t>袋装，分类收集，集中、定期清运</w:t>
            </w:r>
          </w:p>
        </w:tc>
        <w:tc>
          <w:tcPr>
            <w:tcW w:w="2333" w:type="dxa"/>
            <w:vMerge w:val="restart"/>
            <w:vAlign w:val="center"/>
          </w:tcPr>
          <w:p>
            <w:pPr>
              <w:spacing w:line="280" w:lineRule="exact"/>
              <w:jc w:val="center"/>
              <w:rPr>
                <w:szCs w:val="21"/>
              </w:rPr>
            </w:pPr>
            <w:r>
              <w:rPr>
                <w:szCs w:val="21"/>
              </w:rPr>
              <w:t>无外排</w:t>
            </w:r>
          </w:p>
        </w:tc>
        <w:tc>
          <w:tcPr>
            <w:tcW w:w="1535" w:type="dxa"/>
            <w:vMerge w:val="restart"/>
            <w:vAlign w:val="center"/>
          </w:tcPr>
          <w:p>
            <w:pPr>
              <w:spacing w:line="280" w:lineRule="exact"/>
              <w:jc w:val="center"/>
              <w:rPr>
                <w:szCs w:val="21"/>
              </w:rPr>
            </w:pPr>
            <w:r>
              <w:rPr>
                <w:rFonts w:hint="eastAsia"/>
                <w:szCs w:val="21"/>
              </w:rPr>
              <w:t>5</w:t>
            </w:r>
          </w:p>
        </w:tc>
        <w:tc>
          <w:tcPr>
            <w:tcW w:w="1358" w:type="dxa"/>
            <w:gridSpan w:val="2"/>
            <w:vMerge w:val="continue"/>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0" w:hRule="atLeast"/>
          <w:jc w:val="center"/>
        </w:trPr>
        <w:tc>
          <w:tcPr>
            <w:tcW w:w="1153" w:type="dxa"/>
            <w:vMerge w:val="continue"/>
            <w:vAlign w:val="center"/>
          </w:tcPr>
          <w:p>
            <w:pPr>
              <w:spacing w:line="280" w:lineRule="exact"/>
              <w:jc w:val="center"/>
              <w:rPr>
                <w:color w:val="000000"/>
                <w:szCs w:val="21"/>
              </w:rPr>
            </w:pPr>
          </w:p>
        </w:tc>
        <w:tc>
          <w:tcPr>
            <w:tcW w:w="1702" w:type="dxa"/>
            <w:vMerge w:val="continue"/>
            <w:vAlign w:val="center"/>
          </w:tcPr>
          <w:p>
            <w:pPr>
              <w:spacing w:line="280" w:lineRule="exact"/>
              <w:jc w:val="center"/>
              <w:rPr>
                <w:color w:val="000000"/>
                <w:szCs w:val="21"/>
              </w:rPr>
            </w:pPr>
          </w:p>
        </w:tc>
        <w:tc>
          <w:tcPr>
            <w:tcW w:w="2099" w:type="dxa"/>
            <w:vAlign w:val="center"/>
          </w:tcPr>
          <w:p>
            <w:pPr>
              <w:tabs>
                <w:tab w:val="left" w:pos="7513"/>
              </w:tabs>
              <w:spacing w:line="280" w:lineRule="exact"/>
              <w:jc w:val="center"/>
              <w:rPr>
                <w:color w:val="000000"/>
                <w:szCs w:val="21"/>
              </w:rPr>
            </w:pPr>
            <w:r>
              <w:rPr>
                <w:rFonts w:hint="eastAsia"/>
                <w:color w:val="000000"/>
                <w:szCs w:val="21"/>
              </w:rPr>
              <w:t>办公垃圾</w:t>
            </w:r>
          </w:p>
        </w:tc>
        <w:tc>
          <w:tcPr>
            <w:tcW w:w="3486" w:type="dxa"/>
            <w:vAlign w:val="center"/>
          </w:tcPr>
          <w:p>
            <w:pPr>
              <w:spacing w:line="280" w:lineRule="exact"/>
              <w:jc w:val="center"/>
              <w:rPr>
                <w:color w:val="000000"/>
                <w:szCs w:val="21"/>
              </w:rPr>
            </w:pPr>
            <w:r>
              <w:rPr>
                <w:rFonts w:hint="eastAsia"/>
                <w:color w:val="000000"/>
                <w:szCs w:val="21"/>
              </w:rPr>
              <w:t>收集后外售</w:t>
            </w:r>
          </w:p>
        </w:tc>
        <w:tc>
          <w:tcPr>
            <w:tcW w:w="2333" w:type="dxa"/>
            <w:vMerge w:val="continue"/>
            <w:vAlign w:val="center"/>
          </w:tcPr>
          <w:p>
            <w:pPr>
              <w:spacing w:line="280" w:lineRule="exact"/>
              <w:jc w:val="center"/>
              <w:rPr>
                <w:szCs w:val="21"/>
              </w:rPr>
            </w:pPr>
          </w:p>
        </w:tc>
        <w:tc>
          <w:tcPr>
            <w:tcW w:w="1535" w:type="dxa"/>
            <w:vMerge w:val="continue"/>
            <w:vAlign w:val="center"/>
          </w:tcPr>
          <w:p>
            <w:pPr>
              <w:spacing w:line="280" w:lineRule="exact"/>
              <w:jc w:val="center"/>
              <w:rPr>
                <w:rFonts w:hint="eastAsia"/>
                <w:szCs w:val="21"/>
              </w:rPr>
            </w:pPr>
          </w:p>
        </w:tc>
        <w:tc>
          <w:tcPr>
            <w:tcW w:w="1358" w:type="dxa"/>
            <w:gridSpan w:val="2"/>
            <w:vMerge w:val="continue"/>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0" w:hRule="atLeast"/>
          <w:jc w:val="center"/>
        </w:trPr>
        <w:tc>
          <w:tcPr>
            <w:tcW w:w="1153" w:type="dxa"/>
            <w:vMerge w:val="continue"/>
            <w:vAlign w:val="center"/>
          </w:tcPr>
          <w:p>
            <w:pPr>
              <w:spacing w:line="280" w:lineRule="exact"/>
              <w:jc w:val="center"/>
              <w:rPr>
                <w:color w:val="000000"/>
                <w:szCs w:val="21"/>
              </w:rPr>
            </w:pPr>
          </w:p>
        </w:tc>
        <w:tc>
          <w:tcPr>
            <w:tcW w:w="1702" w:type="dxa"/>
            <w:vMerge w:val="continue"/>
            <w:vAlign w:val="center"/>
          </w:tcPr>
          <w:p>
            <w:pPr>
              <w:spacing w:line="280" w:lineRule="exact"/>
              <w:jc w:val="center"/>
              <w:rPr>
                <w:color w:val="000000"/>
                <w:szCs w:val="21"/>
              </w:rPr>
            </w:pPr>
          </w:p>
        </w:tc>
        <w:tc>
          <w:tcPr>
            <w:tcW w:w="2099" w:type="dxa"/>
            <w:vAlign w:val="center"/>
          </w:tcPr>
          <w:p>
            <w:pPr>
              <w:tabs>
                <w:tab w:val="left" w:pos="7513"/>
              </w:tabs>
              <w:spacing w:line="280" w:lineRule="exact"/>
              <w:jc w:val="center"/>
              <w:rPr>
                <w:color w:val="000000"/>
                <w:szCs w:val="21"/>
              </w:rPr>
            </w:pPr>
            <w:r>
              <w:rPr>
                <w:color w:val="000000"/>
                <w:szCs w:val="21"/>
              </w:rPr>
              <w:t>化粪池污泥</w:t>
            </w:r>
          </w:p>
        </w:tc>
        <w:tc>
          <w:tcPr>
            <w:tcW w:w="3486" w:type="dxa"/>
            <w:vAlign w:val="center"/>
          </w:tcPr>
          <w:p>
            <w:pPr>
              <w:spacing w:line="280" w:lineRule="exact"/>
              <w:jc w:val="center"/>
              <w:rPr>
                <w:color w:val="000000"/>
                <w:szCs w:val="21"/>
              </w:rPr>
            </w:pPr>
            <w:r>
              <w:rPr>
                <w:rFonts w:hint="eastAsia"/>
                <w:color w:val="000000"/>
                <w:szCs w:val="21"/>
              </w:rPr>
              <w:t>收集后外售</w:t>
            </w:r>
          </w:p>
        </w:tc>
        <w:tc>
          <w:tcPr>
            <w:tcW w:w="2333" w:type="dxa"/>
            <w:vMerge w:val="continue"/>
            <w:vAlign w:val="center"/>
          </w:tcPr>
          <w:p>
            <w:pPr>
              <w:spacing w:line="280" w:lineRule="exact"/>
              <w:jc w:val="center"/>
              <w:rPr>
                <w:szCs w:val="21"/>
              </w:rPr>
            </w:pPr>
          </w:p>
        </w:tc>
        <w:tc>
          <w:tcPr>
            <w:tcW w:w="1535" w:type="dxa"/>
            <w:vMerge w:val="continue"/>
            <w:vAlign w:val="center"/>
          </w:tcPr>
          <w:p>
            <w:pPr>
              <w:spacing w:line="280" w:lineRule="exact"/>
              <w:jc w:val="center"/>
              <w:rPr>
                <w:rFonts w:hint="eastAsia"/>
                <w:szCs w:val="21"/>
              </w:rPr>
            </w:pPr>
          </w:p>
        </w:tc>
        <w:tc>
          <w:tcPr>
            <w:tcW w:w="1358" w:type="dxa"/>
            <w:gridSpan w:val="2"/>
            <w:vMerge w:val="continue"/>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atLeast"/>
          <w:jc w:val="center"/>
        </w:trPr>
        <w:tc>
          <w:tcPr>
            <w:tcW w:w="1153" w:type="dxa"/>
            <w:vMerge w:val="continue"/>
            <w:vAlign w:val="center"/>
          </w:tcPr>
          <w:p>
            <w:pPr>
              <w:spacing w:line="280" w:lineRule="exact"/>
              <w:jc w:val="center"/>
              <w:rPr>
                <w:color w:val="000000"/>
                <w:szCs w:val="21"/>
              </w:rPr>
            </w:pPr>
          </w:p>
        </w:tc>
        <w:tc>
          <w:tcPr>
            <w:tcW w:w="1702" w:type="dxa"/>
            <w:vMerge w:val="continue"/>
            <w:vAlign w:val="center"/>
          </w:tcPr>
          <w:p>
            <w:pPr>
              <w:spacing w:line="280" w:lineRule="exact"/>
              <w:jc w:val="center"/>
              <w:rPr>
                <w:color w:val="000000"/>
                <w:szCs w:val="21"/>
              </w:rPr>
            </w:pPr>
          </w:p>
        </w:tc>
        <w:tc>
          <w:tcPr>
            <w:tcW w:w="2099" w:type="dxa"/>
            <w:vAlign w:val="center"/>
          </w:tcPr>
          <w:p>
            <w:pPr>
              <w:tabs>
                <w:tab w:val="left" w:pos="7513"/>
              </w:tabs>
              <w:spacing w:line="280" w:lineRule="exact"/>
              <w:jc w:val="center"/>
              <w:rPr>
                <w:color w:val="000000"/>
                <w:szCs w:val="21"/>
              </w:rPr>
            </w:pPr>
            <w:r>
              <w:rPr>
                <w:rFonts w:hint="eastAsia"/>
                <w:color w:val="000000"/>
                <w:szCs w:val="21"/>
              </w:rPr>
              <w:t>废机油</w:t>
            </w:r>
          </w:p>
        </w:tc>
        <w:tc>
          <w:tcPr>
            <w:tcW w:w="3486" w:type="dxa"/>
            <w:vAlign w:val="center"/>
          </w:tcPr>
          <w:p>
            <w:pPr>
              <w:spacing w:line="280" w:lineRule="exact"/>
              <w:jc w:val="center"/>
              <w:rPr>
                <w:color w:val="000000"/>
                <w:szCs w:val="21"/>
              </w:rPr>
            </w:pPr>
            <w:r>
              <w:rPr>
                <w:rFonts w:hint="eastAsia"/>
                <w:sz w:val="20"/>
                <w:szCs w:val="21"/>
              </w:rPr>
              <w:t>委托南京市孝武润滑油添加剂经营部处理</w:t>
            </w:r>
          </w:p>
        </w:tc>
        <w:tc>
          <w:tcPr>
            <w:tcW w:w="2333" w:type="dxa"/>
            <w:vMerge w:val="continue"/>
            <w:vAlign w:val="center"/>
          </w:tcPr>
          <w:p>
            <w:pPr>
              <w:spacing w:line="280" w:lineRule="exact"/>
              <w:jc w:val="center"/>
              <w:rPr>
                <w:szCs w:val="21"/>
              </w:rPr>
            </w:pPr>
          </w:p>
        </w:tc>
        <w:tc>
          <w:tcPr>
            <w:tcW w:w="1535" w:type="dxa"/>
            <w:vMerge w:val="continue"/>
            <w:vAlign w:val="center"/>
          </w:tcPr>
          <w:p>
            <w:pPr>
              <w:spacing w:line="280" w:lineRule="exact"/>
              <w:jc w:val="center"/>
              <w:rPr>
                <w:szCs w:val="21"/>
              </w:rPr>
            </w:pPr>
          </w:p>
        </w:tc>
        <w:tc>
          <w:tcPr>
            <w:tcW w:w="1358" w:type="dxa"/>
            <w:gridSpan w:val="2"/>
            <w:vMerge w:val="continue"/>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jc w:val="center"/>
        </w:trPr>
        <w:tc>
          <w:tcPr>
            <w:tcW w:w="2855" w:type="dxa"/>
            <w:gridSpan w:val="2"/>
            <w:vAlign w:val="center"/>
          </w:tcPr>
          <w:p>
            <w:pPr>
              <w:spacing w:line="280" w:lineRule="exact"/>
              <w:jc w:val="center"/>
              <w:rPr>
                <w:color w:val="000000"/>
                <w:szCs w:val="21"/>
              </w:rPr>
            </w:pPr>
            <w:r>
              <w:rPr>
                <w:color w:val="000000"/>
                <w:szCs w:val="21"/>
              </w:rPr>
              <w:t>绿化</w:t>
            </w:r>
          </w:p>
        </w:tc>
        <w:tc>
          <w:tcPr>
            <w:tcW w:w="5585" w:type="dxa"/>
            <w:gridSpan w:val="2"/>
            <w:vAlign w:val="center"/>
          </w:tcPr>
          <w:p>
            <w:pPr>
              <w:spacing w:line="280" w:lineRule="exact"/>
              <w:jc w:val="center"/>
              <w:rPr>
                <w:color w:val="000000"/>
                <w:szCs w:val="21"/>
              </w:rPr>
            </w:pPr>
            <w:r>
              <w:rPr>
                <w:color w:val="000000"/>
                <w:szCs w:val="21"/>
              </w:rPr>
              <w:t>项目场界内绿化</w:t>
            </w:r>
          </w:p>
        </w:tc>
        <w:tc>
          <w:tcPr>
            <w:tcW w:w="2333" w:type="dxa"/>
            <w:vAlign w:val="center"/>
          </w:tcPr>
          <w:p>
            <w:pPr>
              <w:spacing w:line="280" w:lineRule="exact"/>
              <w:jc w:val="center"/>
              <w:rPr>
                <w:szCs w:val="21"/>
              </w:rPr>
            </w:pPr>
            <w:r>
              <w:rPr>
                <w:szCs w:val="21"/>
              </w:rPr>
              <w:t>绿地率</w:t>
            </w:r>
            <w:r>
              <w:rPr>
                <w:rFonts w:hint="eastAsia"/>
                <w:szCs w:val="21"/>
              </w:rPr>
              <w:t>16.7</w:t>
            </w:r>
            <w:r>
              <w:rPr>
                <w:szCs w:val="21"/>
              </w:rPr>
              <w:t>%</w:t>
            </w:r>
          </w:p>
        </w:tc>
        <w:tc>
          <w:tcPr>
            <w:tcW w:w="1535" w:type="dxa"/>
            <w:vAlign w:val="center"/>
          </w:tcPr>
          <w:p>
            <w:pPr>
              <w:spacing w:line="280" w:lineRule="exact"/>
              <w:jc w:val="center"/>
              <w:rPr>
                <w:szCs w:val="21"/>
              </w:rPr>
            </w:pPr>
            <w:r>
              <w:rPr>
                <w:szCs w:val="21"/>
              </w:rPr>
              <w:t>30</w:t>
            </w:r>
          </w:p>
        </w:tc>
        <w:tc>
          <w:tcPr>
            <w:tcW w:w="1358" w:type="dxa"/>
            <w:gridSpan w:val="2"/>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3" w:hRule="atLeast"/>
          <w:jc w:val="center"/>
        </w:trPr>
        <w:tc>
          <w:tcPr>
            <w:tcW w:w="2855" w:type="dxa"/>
            <w:gridSpan w:val="2"/>
            <w:vAlign w:val="center"/>
          </w:tcPr>
          <w:p>
            <w:pPr>
              <w:spacing w:line="280" w:lineRule="exact"/>
              <w:jc w:val="center"/>
              <w:rPr>
                <w:color w:val="000000"/>
                <w:szCs w:val="21"/>
              </w:rPr>
            </w:pPr>
            <w:r>
              <w:rPr>
                <w:color w:val="000000"/>
                <w:szCs w:val="21"/>
              </w:rPr>
              <w:t>事故应急措施</w:t>
            </w:r>
          </w:p>
        </w:tc>
        <w:tc>
          <w:tcPr>
            <w:tcW w:w="5585" w:type="dxa"/>
            <w:gridSpan w:val="2"/>
            <w:vAlign w:val="center"/>
          </w:tcPr>
          <w:p>
            <w:pPr>
              <w:spacing w:line="280" w:lineRule="exact"/>
              <w:jc w:val="center"/>
              <w:rPr>
                <w:color w:val="000000"/>
                <w:szCs w:val="21"/>
              </w:rPr>
            </w:pPr>
            <w:r>
              <w:rPr>
                <w:color w:val="000000"/>
                <w:szCs w:val="21"/>
              </w:rPr>
              <w:t>消防设施等</w:t>
            </w:r>
          </w:p>
        </w:tc>
        <w:tc>
          <w:tcPr>
            <w:tcW w:w="2333" w:type="dxa"/>
            <w:vAlign w:val="center"/>
          </w:tcPr>
          <w:p>
            <w:pPr>
              <w:spacing w:line="280" w:lineRule="exact"/>
              <w:jc w:val="center"/>
              <w:rPr>
                <w:szCs w:val="21"/>
              </w:rPr>
            </w:pPr>
            <w:r>
              <w:rPr>
                <w:szCs w:val="21"/>
              </w:rPr>
              <w:t>/</w:t>
            </w:r>
          </w:p>
        </w:tc>
        <w:tc>
          <w:tcPr>
            <w:tcW w:w="1535" w:type="dxa"/>
            <w:vAlign w:val="center"/>
          </w:tcPr>
          <w:p>
            <w:pPr>
              <w:spacing w:line="280" w:lineRule="exact"/>
              <w:jc w:val="center"/>
              <w:rPr>
                <w:szCs w:val="21"/>
              </w:rPr>
            </w:pPr>
            <w:r>
              <w:rPr>
                <w:szCs w:val="21"/>
              </w:rPr>
              <w:t>5</w:t>
            </w:r>
          </w:p>
        </w:tc>
        <w:tc>
          <w:tcPr>
            <w:tcW w:w="1358" w:type="dxa"/>
            <w:gridSpan w:val="2"/>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2855" w:type="dxa"/>
            <w:gridSpan w:val="2"/>
            <w:vAlign w:val="center"/>
          </w:tcPr>
          <w:p>
            <w:pPr>
              <w:spacing w:line="280" w:lineRule="exact"/>
              <w:jc w:val="center"/>
              <w:rPr>
                <w:color w:val="000000"/>
                <w:szCs w:val="21"/>
              </w:rPr>
            </w:pPr>
            <w:r>
              <w:rPr>
                <w:color w:val="000000"/>
                <w:szCs w:val="21"/>
              </w:rPr>
              <w:t>环境管理（机构、监测能力等）</w:t>
            </w:r>
          </w:p>
        </w:tc>
        <w:tc>
          <w:tcPr>
            <w:tcW w:w="5585" w:type="dxa"/>
            <w:gridSpan w:val="2"/>
            <w:vAlign w:val="center"/>
          </w:tcPr>
          <w:p>
            <w:pPr>
              <w:spacing w:line="280" w:lineRule="exact"/>
              <w:jc w:val="center"/>
              <w:rPr>
                <w:color w:val="000000"/>
                <w:szCs w:val="21"/>
              </w:rPr>
            </w:pPr>
            <w:r>
              <w:rPr>
                <w:color w:val="000000"/>
                <w:szCs w:val="21"/>
              </w:rPr>
              <w:t>委托监测</w:t>
            </w:r>
          </w:p>
        </w:tc>
        <w:tc>
          <w:tcPr>
            <w:tcW w:w="2333" w:type="dxa"/>
            <w:vAlign w:val="center"/>
          </w:tcPr>
          <w:p>
            <w:pPr>
              <w:spacing w:line="280" w:lineRule="exact"/>
              <w:jc w:val="center"/>
              <w:rPr>
                <w:szCs w:val="21"/>
              </w:rPr>
            </w:pPr>
            <w:r>
              <w:rPr>
                <w:szCs w:val="21"/>
              </w:rPr>
              <w:t>/</w:t>
            </w:r>
          </w:p>
        </w:tc>
        <w:tc>
          <w:tcPr>
            <w:tcW w:w="1535" w:type="dxa"/>
            <w:vAlign w:val="center"/>
          </w:tcPr>
          <w:p>
            <w:pPr>
              <w:spacing w:line="280" w:lineRule="exact"/>
              <w:jc w:val="center"/>
              <w:rPr>
                <w:szCs w:val="21"/>
              </w:rPr>
            </w:pPr>
            <w:r>
              <w:rPr>
                <w:szCs w:val="21"/>
              </w:rPr>
              <w:t>0</w:t>
            </w:r>
          </w:p>
        </w:tc>
        <w:tc>
          <w:tcPr>
            <w:tcW w:w="1358" w:type="dxa"/>
            <w:gridSpan w:val="2"/>
            <w:vAlign w:val="center"/>
          </w:tcPr>
          <w:p>
            <w:pPr>
              <w:spacing w:line="280" w:lineRule="exact"/>
              <w:jc w:val="center"/>
              <w:rPr>
                <w:color w:val="000000"/>
                <w:szCs w:val="21"/>
              </w:rPr>
            </w:pPr>
            <w:r>
              <w:rPr>
                <w:color w:val="000000"/>
                <w:szCs w:val="21"/>
              </w:rPr>
              <w:t>满足日常监测需要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jc w:val="center"/>
        </w:trPr>
        <w:tc>
          <w:tcPr>
            <w:tcW w:w="2855" w:type="dxa"/>
            <w:gridSpan w:val="2"/>
            <w:vAlign w:val="center"/>
          </w:tcPr>
          <w:p>
            <w:pPr>
              <w:spacing w:line="280" w:lineRule="exact"/>
              <w:jc w:val="center"/>
              <w:rPr>
                <w:color w:val="000000"/>
                <w:szCs w:val="21"/>
              </w:rPr>
            </w:pPr>
            <w:r>
              <w:rPr>
                <w:color w:val="000000"/>
                <w:szCs w:val="21"/>
              </w:rPr>
              <w:t>清污分流、排污口规范化设置（流量计、在线检测仪等）</w:t>
            </w:r>
          </w:p>
        </w:tc>
        <w:tc>
          <w:tcPr>
            <w:tcW w:w="5585" w:type="dxa"/>
            <w:gridSpan w:val="2"/>
            <w:vAlign w:val="center"/>
          </w:tcPr>
          <w:p>
            <w:pPr>
              <w:spacing w:line="280" w:lineRule="exact"/>
              <w:jc w:val="center"/>
              <w:rPr>
                <w:color w:val="000000"/>
                <w:szCs w:val="21"/>
              </w:rPr>
            </w:pPr>
            <w:r>
              <w:rPr>
                <w:snapToGrid w:val="0"/>
                <w:color w:val="000000"/>
                <w:kern w:val="0"/>
                <w:szCs w:val="21"/>
              </w:rPr>
              <w:t xml:space="preserve">   雨污分流管网，在污水排口设流量计等</w:t>
            </w:r>
          </w:p>
        </w:tc>
        <w:tc>
          <w:tcPr>
            <w:tcW w:w="2333" w:type="dxa"/>
            <w:vAlign w:val="center"/>
          </w:tcPr>
          <w:p>
            <w:pPr>
              <w:spacing w:line="280" w:lineRule="exact"/>
              <w:jc w:val="center"/>
              <w:rPr>
                <w:szCs w:val="21"/>
              </w:rPr>
            </w:pPr>
            <w:r>
              <w:rPr>
                <w:color w:val="000000"/>
                <w:szCs w:val="21"/>
              </w:rPr>
              <w:t>/</w:t>
            </w:r>
          </w:p>
        </w:tc>
        <w:tc>
          <w:tcPr>
            <w:tcW w:w="1535" w:type="dxa"/>
            <w:vAlign w:val="center"/>
          </w:tcPr>
          <w:p>
            <w:pPr>
              <w:spacing w:line="280" w:lineRule="exact"/>
              <w:jc w:val="center"/>
              <w:rPr>
                <w:szCs w:val="21"/>
              </w:rPr>
            </w:pPr>
            <w:r>
              <w:rPr>
                <w:szCs w:val="21"/>
              </w:rPr>
              <w:t>5</w:t>
            </w:r>
          </w:p>
        </w:tc>
        <w:tc>
          <w:tcPr>
            <w:tcW w:w="1358" w:type="dxa"/>
            <w:gridSpan w:val="2"/>
            <w:vAlign w:val="center"/>
          </w:tcPr>
          <w:p>
            <w:pPr>
              <w:spacing w:line="280" w:lineRule="exact"/>
              <w:jc w:val="center"/>
              <w:rPr>
                <w:szCs w:val="21"/>
              </w:rPr>
            </w:pPr>
            <w:r>
              <w:rPr>
                <w:szCs w:val="21"/>
              </w:rPr>
              <w:t>与建设项目同时设计、施工、运行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2855" w:type="dxa"/>
            <w:gridSpan w:val="2"/>
            <w:vAlign w:val="center"/>
          </w:tcPr>
          <w:p>
            <w:pPr>
              <w:spacing w:line="280" w:lineRule="exact"/>
              <w:ind w:right="-84" w:rightChars="-40"/>
              <w:jc w:val="center"/>
              <w:rPr>
                <w:color w:val="000000"/>
                <w:szCs w:val="21"/>
              </w:rPr>
            </w:pPr>
            <w:r>
              <w:rPr>
                <w:color w:val="000000"/>
                <w:szCs w:val="21"/>
              </w:rPr>
              <w:t>“以新代老”措施</w:t>
            </w:r>
          </w:p>
        </w:tc>
        <w:tc>
          <w:tcPr>
            <w:tcW w:w="5585" w:type="dxa"/>
            <w:gridSpan w:val="2"/>
            <w:vAlign w:val="center"/>
          </w:tcPr>
          <w:p>
            <w:pPr>
              <w:spacing w:line="280" w:lineRule="exact"/>
              <w:jc w:val="center"/>
              <w:rPr>
                <w:color w:val="000000"/>
                <w:szCs w:val="21"/>
              </w:rPr>
            </w:pPr>
            <w:r>
              <w:rPr>
                <w:color w:val="000000"/>
                <w:szCs w:val="21"/>
              </w:rPr>
              <w:t>/</w:t>
            </w:r>
          </w:p>
        </w:tc>
        <w:tc>
          <w:tcPr>
            <w:tcW w:w="2333" w:type="dxa"/>
            <w:vAlign w:val="center"/>
          </w:tcPr>
          <w:p>
            <w:pPr>
              <w:spacing w:line="280" w:lineRule="exact"/>
              <w:jc w:val="center"/>
              <w:rPr>
                <w:color w:val="000000"/>
                <w:szCs w:val="21"/>
              </w:rPr>
            </w:pPr>
            <w:r>
              <w:rPr>
                <w:color w:val="000000"/>
                <w:szCs w:val="21"/>
              </w:rPr>
              <w:t>/</w:t>
            </w:r>
          </w:p>
        </w:tc>
        <w:tc>
          <w:tcPr>
            <w:tcW w:w="1535" w:type="dxa"/>
            <w:vAlign w:val="center"/>
          </w:tcPr>
          <w:p>
            <w:pPr>
              <w:spacing w:line="280" w:lineRule="exact"/>
              <w:jc w:val="center"/>
              <w:rPr>
                <w:color w:val="000000"/>
                <w:szCs w:val="21"/>
              </w:rPr>
            </w:pPr>
            <w:r>
              <w:rPr>
                <w:color w:val="000000"/>
                <w:szCs w:val="21"/>
              </w:rPr>
              <w:t>/</w:t>
            </w:r>
          </w:p>
        </w:tc>
        <w:tc>
          <w:tcPr>
            <w:tcW w:w="1358" w:type="dxa"/>
            <w:gridSpan w:val="2"/>
            <w:vAlign w:val="center"/>
          </w:tcPr>
          <w:p>
            <w:pPr>
              <w:spacing w:line="28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0" w:hRule="atLeast"/>
          <w:jc w:val="center"/>
        </w:trPr>
        <w:tc>
          <w:tcPr>
            <w:tcW w:w="2855" w:type="dxa"/>
            <w:gridSpan w:val="2"/>
            <w:vAlign w:val="center"/>
          </w:tcPr>
          <w:p>
            <w:pPr>
              <w:spacing w:line="280" w:lineRule="exact"/>
              <w:jc w:val="center"/>
              <w:rPr>
                <w:color w:val="000000"/>
                <w:szCs w:val="21"/>
              </w:rPr>
            </w:pPr>
            <w:r>
              <w:rPr>
                <w:color w:val="000000"/>
                <w:szCs w:val="21"/>
              </w:rPr>
              <w:t>总量平衡具体方案</w:t>
            </w:r>
          </w:p>
        </w:tc>
        <w:tc>
          <w:tcPr>
            <w:tcW w:w="10811" w:type="dxa"/>
            <w:gridSpan w:val="6"/>
            <w:vAlign w:val="center"/>
          </w:tcPr>
          <w:p>
            <w:pPr>
              <w:spacing w:line="280" w:lineRule="exact"/>
              <w:jc w:val="center"/>
              <w:rPr>
                <w:color w:val="000000"/>
                <w:szCs w:val="21"/>
              </w:rPr>
            </w:pPr>
            <w:r>
              <w:rPr>
                <w:rFonts w:hint="eastAsia"/>
                <w:color w:val="000000"/>
                <w:szCs w:val="21"/>
              </w:rPr>
              <w:t>大气和固废不需申请总量；</w:t>
            </w:r>
            <w:r>
              <w:rPr>
                <w:color w:val="000000"/>
                <w:szCs w:val="21"/>
              </w:rPr>
              <w:t>水污染物COD、SS、NH</w:t>
            </w:r>
            <w:r>
              <w:rPr>
                <w:color w:val="000000"/>
                <w:szCs w:val="21"/>
                <w:vertAlign w:val="subscript"/>
              </w:rPr>
              <w:t>3</w:t>
            </w:r>
            <w:r>
              <w:rPr>
                <w:color w:val="000000"/>
                <w:szCs w:val="21"/>
              </w:rPr>
              <w:t>-N、TP指标在</w:t>
            </w:r>
            <w:r>
              <w:rPr>
                <w:rFonts w:hint="eastAsia"/>
                <w:color w:val="000000"/>
                <w:szCs w:val="21"/>
              </w:rPr>
              <w:t>城南</w:t>
            </w:r>
            <w:r>
              <w:rPr>
                <w:color w:val="000000"/>
                <w:szCs w:val="21"/>
              </w:rPr>
              <w:t>污水处理厂内平衡；项目固废零排放。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1" w:hRule="atLeast"/>
          <w:jc w:val="center"/>
        </w:trPr>
        <w:tc>
          <w:tcPr>
            <w:tcW w:w="2855" w:type="dxa"/>
            <w:gridSpan w:val="2"/>
            <w:vAlign w:val="center"/>
          </w:tcPr>
          <w:p>
            <w:pPr>
              <w:spacing w:line="280" w:lineRule="exact"/>
              <w:jc w:val="center"/>
              <w:rPr>
                <w:color w:val="000000"/>
                <w:szCs w:val="21"/>
              </w:rPr>
            </w:pPr>
            <w:r>
              <w:rPr>
                <w:color w:val="000000"/>
                <w:szCs w:val="21"/>
              </w:rPr>
              <w:t>区域解决问题</w:t>
            </w:r>
          </w:p>
        </w:tc>
        <w:tc>
          <w:tcPr>
            <w:tcW w:w="10811" w:type="dxa"/>
            <w:gridSpan w:val="6"/>
            <w:vAlign w:val="center"/>
          </w:tcPr>
          <w:p>
            <w:pPr>
              <w:spacing w:line="280" w:lineRule="exact"/>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58" w:hRule="atLeast"/>
          <w:jc w:val="center"/>
        </w:trPr>
        <w:tc>
          <w:tcPr>
            <w:tcW w:w="2855" w:type="dxa"/>
            <w:gridSpan w:val="2"/>
            <w:vAlign w:val="center"/>
          </w:tcPr>
          <w:p>
            <w:pPr>
              <w:spacing w:line="280" w:lineRule="exact"/>
              <w:jc w:val="center"/>
              <w:rPr>
                <w:color w:val="000000"/>
                <w:szCs w:val="21"/>
              </w:rPr>
            </w:pPr>
            <w:r>
              <w:rPr>
                <w:color w:val="000000"/>
                <w:szCs w:val="21"/>
              </w:rPr>
              <w:t>卫生防护距离设置（以设施或厂界设置、敏感保护目标情况等）</w:t>
            </w:r>
          </w:p>
        </w:tc>
        <w:tc>
          <w:tcPr>
            <w:tcW w:w="10811" w:type="dxa"/>
            <w:gridSpan w:val="6"/>
            <w:vAlign w:val="center"/>
          </w:tcPr>
          <w:p>
            <w:pPr>
              <w:spacing w:line="280" w:lineRule="exact"/>
              <w:jc w:val="center"/>
              <w:rPr>
                <w:color w:val="000000"/>
                <w:szCs w:val="21"/>
              </w:rPr>
            </w:pPr>
            <w:r>
              <w:rPr>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2855" w:type="dxa"/>
            <w:gridSpan w:val="2"/>
            <w:vAlign w:val="center"/>
          </w:tcPr>
          <w:p>
            <w:pPr>
              <w:spacing w:line="280" w:lineRule="exact"/>
              <w:jc w:val="center"/>
              <w:rPr>
                <w:color w:val="000000"/>
                <w:szCs w:val="21"/>
              </w:rPr>
            </w:pPr>
            <w:r>
              <w:rPr>
                <w:color w:val="000000"/>
                <w:szCs w:val="21"/>
              </w:rPr>
              <w:t>合计</w:t>
            </w:r>
          </w:p>
        </w:tc>
        <w:tc>
          <w:tcPr>
            <w:tcW w:w="7918" w:type="dxa"/>
            <w:gridSpan w:val="3"/>
            <w:vAlign w:val="center"/>
          </w:tcPr>
          <w:p>
            <w:pPr>
              <w:spacing w:line="280" w:lineRule="exact"/>
              <w:jc w:val="center"/>
              <w:rPr>
                <w:color w:val="000000"/>
                <w:szCs w:val="21"/>
              </w:rPr>
            </w:pPr>
          </w:p>
        </w:tc>
        <w:tc>
          <w:tcPr>
            <w:tcW w:w="1574" w:type="dxa"/>
            <w:gridSpan w:val="2"/>
            <w:vAlign w:val="center"/>
          </w:tcPr>
          <w:p>
            <w:pPr>
              <w:spacing w:line="280" w:lineRule="exact"/>
              <w:jc w:val="center"/>
              <w:rPr>
                <w:color w:val="000000"/>
                <w:szCs w:val="21"/>
              </w:rPr>
            </w:pPr>
            <w:r>
              <w:rPr>
                <w:rFonts w:hint="eastAsia"/>
                <w:szCs w:val="21"/>
              </w:rPr>
              <w:t>90</w:t>
            </w:r>
          </w:p>
        </w:tc>
        <w:tc>
          <w:tcPr>
            <w:tcW w:w="1319" w:type="dxa"/>
            <w:vAlign w:val="center"/>
          </w:tcPr>
          <w:p>
            <w:pPr>
              <w:spacing w:line="280" w:lineRule="exact"/>
              <w:jc w:val="center"/>
              <w:rPr>
                <w:color w:val="000000"/>
                <w:szCs w:val="21"/>
              </w:rPr>
            </w:pPr>
            <w:r>
              <w:rPr>
                <w:color w:val="000000"/>
                <w:szCs w:val="21"/>
              </w:rPr>
              <w:t>/</w:t>
            </w:r>
          </w:p>
        </w:tc>
      </w:tr>
    </w:tbl>
    <w:p>
      <w:pPr>
        <w:outlineLvl w:val="0"/>
        <w:rPr>
          <w:b/>
          <w:color w:val="000000"/>
          <w:sz w:val="24"/>
        </w:rPr>
        <w:sectPr>
          <w:pgSz w:w="16838" w:h="11906" w:orient="landscape"/>
          <w:pgMar w:top="851" w:right="1440" w:bottom="851" w:left="1440" w:header="851" w:footer="992" w:gutter="0"/>
          <w:cols w:space="720" w:num="1"/>
          <w:titlePg/>
          <w:docGrid w:type="linesAndChars" w:linePitch="312" w:charSpace="0"/>
        </w:sectPr>
      </w:pPr>
    </w:p>
    <w:p>
      <w:pPr>
        <w:outlineLvl w:val="0"/>
        <w:rPr>
          <w:rFonts w:eastAsia="黑体"/>
          <w:color w:val="000000"/>
          <w:sz w:val="24"/>
        </w:rPr>
      </w:pPr>
      <w:r>
        <w:rPr>
          <w:rFonts w:hint="eastAsia"/>
          <w:b/>
          <w:color w:val="000000"/>
          <w:sz w:val="24"/>
        </w:rPr>
        <w:t>10、</w:t>
      </w:r>
      <w:r>
        <w:rPr>
          <w:b/>
          <w:color w:val="000000"/>
          <w:sz w:val="24"/>
        </w:rPr>
        <w:t>结论与建议</w:t>
      </w:r>
    </w:p>
    <w:tbl>
      <w:tblPr>
        <w:tblStyle w:val="33"/>
        <w:tblW w:w="8720" w:type="dxa"/>
        <w:tblInd w:w="0" w:type="dxa"/>
        <w:tblBorders>
          <w:top w:val="single" w:color="auto" w:sz="4" w:space="0"/>
          <w:left w:val="single" w:color="auto" w:sz="4" w:space="0"/>
          <w:bottom w:val="single" w:color="auto" w:sz="4" w:space="0"/>
          <w:right w:val="sing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double" w:color="auto" w:sz="4" w:space="0"/>
            <w:insideV w:val="double" w:color="auto" w:sz="4" w:space="0"/>
          </w:tblBorders>
          <w:tblLayout w:type="fixed"/>
          <w:tblCellMar>
            <w:top w:w="0" w:type="dxa"/>
            <w:left w:w="108" w:type="dxa"/>
            <w:bottom w:w="0" w:type="dxa"/>
            <w:right w:w="108" w:type="dxa"/>
          </w:tblCellMar>
        </w:tblPrEx>
        <w:trPr>
          <w:trHeight w:val="13353" w:hRule="atLeast"/>
        </w:trPr>
        <w:tc>
          <w:tcPr>
            <w:tcW w:w="8720" w:type="dxa"/>
            <w:vAlign w:val="top"/>
          </w:tcPr>
          <w:p>
            <w:pPr>
              <w:spacing w:line="440" w:lineRule="exact"/>
              <w:rPr>
                <w:b/>
                <w:color w:val="000000"/>
                <w:sz w:val="24"/>
              </w:rPr>
            </w:pPr>
            <w:r>
              <w:rPr>
                <w:b/>
                <w:color w:val="000000"/>
                <w:sz w:val="24"/>
              </w:rPr>
              <w:t>一、结论</w:t>
            </w:r>
          </w:p>
          <w:p>
            <w:pPr>
              <w:pStyle w:val="10"/>
              <w:spacing w:line="360" w:lineRule="auto"/>
              <w:ind w:firstLine="560"/>
              <w:rPr>
                <w:rFonts w:ascii="Times New Roman" w:hAnsi="Times New Roman"/>
                <w:color w:val="000000"/>
                <w:szCs w:val="24"/>
              </w:rPr>
            </w:pPr>
            <w:r>
              <w:rPr>
                <w:rFonts w:ascii="Times New Roman" w:hAnsi="Times New Roman"/>
                <w:color w:val="000000"/>
                <w:szCs w:val="24"/>
              </w:rPr>
              <w:t>1、项目概况</w:t>
            </w:r>
          </w:p>
          <w:p>
            <w:pPr>
              <w:spacing w:line="360" w:lineRule="auto"/>
              <w:ind w:firstLine="540" w:firstLineChars="225"/>
              <w:rPr>
                <w:sz w:val="24"/>
              </w:rPr>
            </w:pPr>
            <w:r>
              <w:rPr>
                <w:sz w:val="24"/>
              </w:rPr>
              <w:t>本项目由南京鼎邦网络科技有限公司投资94281.9万元，在南京市雨花台区雨花经济开发区，龙藏大道以南、二号路以北、</w:t>
            </w:r>
            <w:r>
              <w:rPr>
                <w:rFonts w:hint="eastAsia"/>
                <w:sz w:val="24"/>
              </w:rPr>
              <w:t>苏宁</w:t>
            </w:r>
            <w:r>
              <w:rPr>
                <w:sz w:val="24"/>
              </w:rPr>
              <w:t>物流中心项目以西建设</w:t>
            </w:r>
            <w:r>
              <w:rPr>
                <w:rFonts w:hint="eastAsia"/>
                <w:sz w:val="24"/>
              </w:rPr>
              <w:t>雨花物流自动化二期</w:t>
            </w:r>
            <w:r>
              <w:rPr>
                <w:color w:val="000000"/>
                <w:sz w:val="24"/>
              </w:rPr>
              <w:t>项</w:t>
            </w:r>
            <w:r>
              <w:rPr>
                <w:sz w:val="24"/>
              </w:rPr>
              <w:t>目，项目占地396449m</w:t>
            </w:r>
            <w:r>
              <w:rPr>
                <w:sz w:val="24"/>
                <w:vertAlign w:val="superscript"/>
              </w:rPr>
              <w:t>2</w:t>
            </w:r>
            <w:r>
              <w:rPr>
                <w:sz w:val="24"/>
              </w:rPr>
              <w:t>，</w:t>
            </w:r>
            <w:r>
              <w:rPr>
                <w:rFonts w:hint="eastAsia"/>
                <w:sz w:val="24"/>
              </w:rPr>
              <w:t>建筑面积为</w:t>
            </w:r>
            <w:r>
              <w:rPr>
                <w:sz w:val="24"/>
              </w:rPr>
              <w:t>516562.44 m</w:t>
            </w:r>
            <w:r>
              <w:rPr>
                <w:sz w:val="24"/>
                <w:vertAlign w:val="superscript"/>
              </w:rPr>
              <w:t>2</w:t>
            </w:r>
            <w:r>
              <w:rPr>
                <w:rFonts w:hint="eastAsia"/>
                <w:sz w:val="24"/>
              </w:rPr>
              <w:t>。</w:t>
            </w:r>
            <w:r>
              <w:rPr>
                <w:sz w:val="24"/>
              </w:rPr>
              <w:t>建设项目主要为物流仓储配送项目，主要仓储及配送货物为服装鞋帽、婴儿用品、食品、化妆品、汽车用品、珠宝、书籍、乐器等，配送商品均为成品</w:t>
            </w:r>
            <w:r>
              <w:rPr>
                <w:rFonts w:hint="eastAsia"/>
                <w:sz w:val="24"/>
              </w:rPr>
              <w:t>；项目研发办公区，主要功能为物流配送研发办公用房，包括物流软件研发，网站维护、数据中心及资料库，无工业生产，不设置食堂。</w:t>
            </w:r>
          </w:p>
          <w:p>
            <w:pPr>
              <w:pStyle w:val="10"/>
              <w:spacing w:line="360" w:lineRule="auto"/>
              <w:ind w:firstLine="560"/>
              <w:rPr>
                <w:rFonts w:ascii="Times New Roman" w:hAnsi="Times New Roman"/>
                <w:color w:val="000000"/>
                <w:szCs w:val="24"/>
              </w:rPr>
            </w:pPr>
            <w:r>
              <w:rPr>
                <w:rFonts w:ascii="Times New Roman" w:hAnsi="Times New Roman"/>
                <w:color w:val="000000"/>
                <w:szCs w:val="24"/>
              </w:rPr>
              <w:t>2、与区域规划相符性</w:t>
            </w:r>
          </w:p>
          <w:p>
            <w:pPr>
              <w:pStyle w:val="10"/>
              <w:spacing w:line="360" w:lineRule="auto"/>
              <w:ind w:firstLine="560"/>
              <w:rPr>
                <w:rFonts w:ascii="Times New Roman" w:hAnsi="Times New Roman"/>
                <w:szCs w:val="24"/>
              </w:rPr>
            </w:pPr>
            <w:r>
              <w:rPr>
                <w:rFonts w:ascii="Times New Roman" w:hAnsi="Times New Roman"/>
                <w:color w:val="000000"/>
                <w:szCs w:val="24"/>
              </w:rPr>
              <w:t>本项目位于</w:t>
            </w:r>
            <w:r>
              <w:rPr>
                <w:rFonts w:ascii="Times New Roman" w:hAnsi="Times New Roman"/>
                <w:szCs w:val="24"/>
              </w:rPr>
              <w:t>南京市雨花台区雨花经济开发区，龙藏大道以南、二号路以北、</w:t>
            </w:r>
            <w:r>
              <w:rPr>
                <w:rFonts w:hint="eastAsia" w:ascii="Times New Roman" w:hAnsi="Times New Roman"/>
                <w:szCs w:val="24"/>
              </w:rPr>
              <w:t>苏宁</w:t>
            </w:r>
            <w:r>
              <w:rPr>
                <w:rFonts w:ascii="Times New Roman" w:hAnsi="Times New Roman"/>
                <w:szCs w:val="24"/>
              </w:rPr>
              <w:t>物流中心项目以西，用地为规划的</w:t>
            </w:r>
            <w:r>
              <w:rPr>
                <w:rFonts w:hint="eastAsia" w:ascii="Times New Roman" w:hAnsi="Times New Roman"/>
                <w:szCs w:val="24"/>
              </w:rPr>
              <w:t>工业</w:t>
            </w:r>
            <w:r>
              <w:rPr>
                <w:rFonts w:ascii="Times New Roman" w:hAnsi="Times New Roman"/>
                <w:szCs w:val="24"/>
              </w:rPr>
              <w:t>用地，项目“三废”排放量较小，与区域规划相符，本项目选址是可行的。</w:t>
            </w:r>
          </w:p>
          <w:p>
            <w:pPr>
              <w:pStyle w:val="10"/>
              <w:spacing w:line="360" w:lineRule="auto"/>
              <w:ind w:firstLine="560"/>
              <w:rPr>
                <w:rFonts w:ascii="Times New Roman" w:hAnsi="Times New Roman"/>
                <w:color w:val="000000"/>
                <w:szCs w:val="24"/>
              </w:rPr>
            </w:pPr>
            <w:r>
              <w:rPr>
                <w:rFonts w:ascii="Times New Roman" w:hAnsi="Times New Roman"/>
                <w:color w:val="000000"/>
                <w:szCs w:val="24"/>
              </w:rPr>
              <w:t>3、与相关产业政策符合性</w:t>
            </w:r>
          </w:p>
          <w:p>
            <w:pPr>
              <w:spacing w:line="440" w:lineRule="exact"/>
              <w:ind w:firstLine="480" w:firstLineChars="200"/>
              <w:rPr>
                <w:kern w:val="0"/>
                <w:sz w:val="24"/>
              </w:rPr>
            </w:pPr>
            <w:r>
              <w:rPr>
                <w:kern w:val="0"/>
                <w:sz w:val="24"/>
              </w:rPr>
              <w:t>对照国家发改委颁布的《产业结构调整指导目录(2011年本)》（2013修正）及《江苏省工业和信息产业结构调整指导目录》（苏政办发[2013]9号），本项目不属于目录中的限制类和淘汰类之列，符合国家有关法律、法规和政策规定，为允许类。</w:t>
            </w:r>
          </w:p>
          <w:p>
            <w:pPr>
              <w:spacing w:line="440" w:lineRule="exact"/>
              <w:ind w:firstLine="480" w:firstLineChars="200"/>
              <w:rPr>
                <w:kern w:val="0"/>
                <w:sz w:val="24"/>
              </w:rPr>
            </w:pPr>
            <w:r>
              <w:rPr>
                <w:kern w:val="0"/>
                <w:sz w:val="24"/>
              </w:rPr>
              <w:t>综上，本项目建设符合国家和地方的产业政策。</w:t>
            </w:r>
          </w:p>
          <w:p>
            <w:pPr>
              <w:spacing w:line="440" w:lineRule="exact"/>
              <w:ind w:firstLine="480" w:firstLineChars="200"/>
              <w:rPr>
                <w:kern w:val="0"/>
                <w:sz w:val="24"/>
              </w:rPr>
            </w:pPr>
            <w:r>
              <w:rPr>
                <w:kern w:val="0"/>
                <w:sz w:val="24"/>
              </w:rPr>
              <w:t>4、项目所在区域环境质量较好</w:t>
            </w:r>
          </w:p>
          <w:p>
            <w:pPr>
              <w:spacing w:line="440" w:lineRule="exact"/>
              <w:ind w:firstLine="480" w:firstLineChars="200"/>
              <w:rPr>
                <w:rFonts w:hint="eastAsia"/>
                <w:kern w:val="0"/>
                <w:sz w:val="24"/>
              </w:rPr>
            </w:pPr>
            <w:r>
              <w:rPr>
                <w:rFonts w:hint="eastAsia"/>
                <w:kern w:val="0"/>
                <w:sz w:val="24"/>
              </w:rPr>
              <w:t>根据监测结果：</w:t>
            </w:r>
            <w:r>
              <w:rPr>
                <w:kern w:val="0"/>
                <w:sz w:val="24"/>
              </w:rPr>
              <w:t>项目所在区域各项监测因子指标能达到《环境空气质量标准》（GB3095-2012）表中的二类区标准，项目所在区域环境空气质量良好。</w:t>
            </w:r>
          </w:p>
          <w:p>
            <w:pPr>
              <w:spacing w:line="440" w:lineRule="exact"/>
              <w:ind w:firstLine="480" w:firstLineChars="200"/>
              <w:rPr>
                <w:kern w:val="0"/>
                <w:sz w:val="24"/>
              </w:rPr>
            </w:pPr>
            <w:r>
              <w:rPr>
                <w:kern w:val="0"/>
                <w:sz w:val="24"/>
              </w:rPr>
              <w:t>长江南京段水质与上年同期基本持平，除总磷超标0.15倍以外，其他指标均达到规划</w:t>
            </w:r>
            <w:r>
              <w:rPr>
                <w:rFonts w:hint="eastAsia"/>
                <w:kern w:val="0"/>
                <w:sz w:val="24"/>
              </w:rPr>
              <w:t>Ⅱ</w:t>
            </w:r>
            <w:r>
              <w:rPr>
                <w:kern w:val="0"/>
                <w:sz w:val="24"/>
              </w:rPr>
              <w:t>类标准。</w:t>
            </w:r>
          </w:p>
          <w:p>
            <w:pPr>
              <w:spacing w:line="440" w:lineRule="exact"/>
              <w:ind w:firstLine="480" w:firstLineChars="200"/>
              <w:rPr>
                <w:kern w:val="0"/>
                <w:sz w:val="24"/>
              </w:rPr>
            </w:pPr>
            <w:r>
              <w:rPr>
                <w:kern w:val="0"/>
                <w:sz w:val="24"/>
              </w:rPr>
              <w:t>除</w:t>
            </w:r>
            <w:r>
              <w:rPr>
                <w:rFonts w:hint="eastAsia"/>
                <w:kern w:val="0"/>
                <w:sz w:val="24"/>
              </w:rPr>
              <w:t>项目西侧323米处</w:t>
            </w:r>
            <w:r>
              <w:rPr>
                <w:kern w:val="0"/>
                <w:sz w:val="24"/>
              </w:rPr>
              <w:t>明发浦泰板桥锦东点位的硝酸盐指标外，三个监测点位的其他各污染因子的监测值均优于《地下水环境质量标准》中的III类标准，项目所在地地下水环境质量总体良好。</w:t>
            </w:r>
          </w:p>
          <w:p>
            <w:pPr>
              <w:spacing w:line="440" w:lineRule="exact"/>
              <w:ind w:firstLine="480" w:firstLineChars="200"/>
              <w:rPr>
                <w:kern w:val="0"/>
                <w:sz w:val="24"/>
              </w:rPr>
            </w:pPr>
            <w:r>
              <w:rPr>
                <w:kern w:val="0"/>
                <w:sz w:val="24"/>
              </w:rPr>
              <w:t>噪声现状监测结果表明：项目所在地声环境现状符合</w:t>
            </w:r>
            <w:r>
              <w:rPr>
                <w:rFonts w:hint="eastAsia"/>
                <w:kern w:val="0"/>
                <w:sz w:val="24"/>
              </w:rPr>
              <w:t>3</w:t>
            </w:r>
            <w:r>
              <w:rPr>
                <w:kern w:val="0"/>
                <w:sz w:val="24"/>
              </w:rPr>
              <w:t>类、4a类区标准，声环境状况良好。</w:t>
            </w:r>
          </w:p>
          <w:p>
            <w:pPr>
              <w:spacing w:line="440" w:lineRule="exact"/>
              <w:ind w:firstLine="480" w:firstLineChars="200"/>
              <w:rPr>
                <w:rFonts w:hint="eastAsia"/>
                <w:kern w:val="0"/>
                <w:sz w:val="24"/>
              </w:rPr>
            </w:pPr>
            <w:r>
              <w:rPr>
                <w:kern w:val="0"/>
                <w:sz w:val="24"/>
              </w:rPr>
              <w:t>项目所在地的土壤环境质量监测数据能够达到《土壤环境质量标准》（GB15618-1995）中的二级标准，项目所在地土壤环境质量较好。</w:t>
            </w:r>
          </w:p>
          <w:p>
            <w:pPr>
              <w:spacing w:line="360" w:lineRule="auto"/>
              <w:ind w:firstLine="480"/>
              <w:rPr>
                <w:sz w:val="24"/>
              </w:rPr>
            </w:pPr>
            <w:r>
              <w:rPr>
                <w:sz w:val="24"/>
              </w:rPr>
              <w:t>5、本项目各项污染物均可得到有效治理，对周边环境影响较小</w:t>
            </w:r>
          </w:p>
          <w:p>
            <w:pPr>
              <w:spacing w:line="360" w:lineRule="auto"/>
              <w:ind w:firstLine="480"/>
              <w:rPr>
                <w:sz w:val="24"/>
              </w:rPr>
            </w:pPr>
            <w:r>
              <w:rPr>
                <w:rFonts w:hint="eastAsia" w:ascii="宋体" w:hAnsi="宋体" w:cs="宋体"/>
                <w:sz w:val="24"/>
              </w:rPr>
              <w:t>⑴</w:t>
            </w:r>
            <w:r>
              <w:rPr>
                <w:sz w:val="24"/>
              </w:rPr>
              <w:t>废气</w:t>
            </w:r>
          </w:p>
          <w:p>
            <w:pPr>
              <w:spacing w:line="360" w:lineRule="auto"/>
              <w:ind w:firstLine="480"/>
              <w:rPr>
                <w:rFonts w:hint="eastAsia"/>
                <w:sz w:val="24"/>
              </w:rPr>
            </w:pPr>
            <w:r>
              <w:rPr>
                <w:sz w:val="24"/>
              </w:rPr>
              <w:t>大气污染物主要为地面运输车辆汽车尾气</w:t>
            </w:r>
            <w:r>
              <w:rPr>
                <w:rFonts w:hint="eastAsia"/>
                <w:sz w:val="24"/>
              </w:rPr>
              <w:t>，地面停车位分散布置于场地内，由于项目场地大气扩散条件好，绿化率高，对汽车尾气有很好的吸收作用，不会对环境空气形成明显污染。通过加强道路两侧的绿化、实行人车分流、区内道路、停车场设置指示牌引导车辆停放、减少怠速带来的汽车尾气影响、严禁尾气超标车辆进入等措施，可有效降低汽车尾气对环境空气的污染影响。</w:t>
            </w:r>
          </w:p>
          <w:p>
            <w:pPr>
              <w:spacing w:line="360" w:lineRule="auto"/>
              <w:ind w:firstLine="480"/>
              <w:rPr>
                <w:sz w:val="24"/>
              </w:rPr>
            </w:pPr>
            <w:r>
              <w:rPr>
                <w:sz w:val="24"/>
              </w:rPr>
              <w:t>本项目建成后对周边大气影响甚微，空气环境质量能达到区域环境功能要求。</w:t>
            </w:r>
          </w:p>
          <w:p>
            <w:pPr>
              <w:spacing w:line="360" w:lineRule="auto"/>
              <w:ind w:firstLine="480"/>
              <w:rPr>
                <w:sz w:val="24"/>
              </w:rPr>
            </w:pPr>
            <w:r>
              <w:rPr>
                <w:rFonts w:hint="eastAsia" w:ascii="宋体" w:hAnsi="宋体" w:cs="宋体"/>
                <w:sz w:val="24"/>
              </w:rPr>
              <w:t>⑵</w:t>
            </w:r>
            <w:r>
              <w:rPr>
                <w:sz w:val="24"/>
              </w:rPr>
              <w:t>废水</w:t>
            </w:r>
          </w:p>
          <w:p>
            <w:pPr>
              <w:spacing w:line="360" w:lineRule="auto"/>
              <w:ind w:firstLine="480"/>
              <w:rPr>
                <w:color w:val="000000"/>
                <w:sz w:val="24"/>
              </w:rPr>
            </w:pPr>
            <w:r>
              <w:rPr>
                <w:sz w:val="24"/>
              </w:rPr>
              <w:t>本项目</w:t>
            </w:r>
            <w:r>
              <w:rPr>
                <w:rFonts w:hint="eastAsia"/>
                <w:sz w:val="24"/>
              </w:rPr>
              <w:t>车</w:t>
            </w:r>
            <w:r>
              <w:rPr>
                <w:sz w:val="24"/>
              </w:rPr>
              <w:t>生活污水经化粪池处理后接管</w:t>
            </w:r>
            <w:r>
              <w:rPr>
                <w:rFonts w:hint="eastAsia"/>
                <w:color w:val="000000"/>
                <w:sz w:val="24"/>
              </w:rPr>
              <w:t>城南</w:t>
            </w:r>
            <w:r>
              <w:rPr>
                <w:color w:val="000000"/>
                <w:sz w:val="24"/>
              </w:rPr>
              <w:t>污水处理厂达标排放，对纳污水体</w:t>
            </w:r>
            <w:r>
              <w:rPr>
                <w:rFonts w:hint="eastAsia"/>
                <w:color w:val="000000"/>
                <w:sz w:val="24"/>
              </w:rPr>
              <w:t>长江</w:t>
            </w:r>
            <w:r>
              <w:rPr>
                <w:color w:val="000000"/>
                <w:sz w:val="24"/>
              </w:rPr>
              <w:t>的影响较小。</w:t>
            </w:r>
          </w:p>
          <w:p>
            <w:pPr>
              <w:spacing w:line="360" w:lineRule="auto"/>
              <w:ind w:firstLine="480"/>
              <w:rPr>
                <w:color w:val="000000"/>
                <w:sz w:val="24"/>
              </w:rPr>
            </w:pPr>
            <w:r>
              <w:rPr>
                <w:rFonts w:hint="eastAsia" w:ascii="宋体" w:hAnsi="宋体" w:cs="宋体"/>
                <w:color w:val="000000"/>
                <w:sz w:val="24"/>
              </w:rPr>
              <w:t>⑶</w:t>
            </w:r>
            <w:r>
              <w:rPr>
                <w:color w:val="000000"/>
                <w:sz w:val="24"/>
              </w:rPr>
              <w:t>噪声</w:t>
            </w:r>
          </w:p>
          <w:p>
            <w:pPr>
              <w:spacing w:line="360" w:lineRule="auto"/>
              <w:ind w:firstLine="480"/>
              <w:rPr>
                <w:rFonts w:hint="eastAsia"/>
                <w:sz w:val="24"/>
              </w:rPr>
            </w:pPr>
            <w:r>
              <w:rPr>
                <w:color w:val="000000"/>
                <w:sz w:val="24"/>
              </w:rPr>
              <w:t>本项目噪声主要为</w:t>
            </w:r>
            <w:r>
              <w:rPr>
                <w:rFonts w:hint="eastAsia"/>
                <w:color w:val="000000"/>
                <w:sz w:val="24"/>
              </w:rPr>
              <w:t>运输车辆、叉车</w:t>
            </w:r>
            <w:r>
              <w:rPr>
                <w:color w:val="000000"/>
                <w:sz w:val="24"/>
              </w:rPr>
              <w:t>、水泵、空调</w:t>
            </w:r>
            <w:r>
              <w:rPr>
                <w:rFonts w:hint="eastAsia"/>
                <w:color w:val="000000"/>
                <w:sz w:val="24"/>
              </w:rPr>
              <w:t>外机组</w:t>
            </w:r>
            <w:r>
              <w:rPr>
                <w:color w:val="000000"/>
                <w:sz w:val="24"/>
              </w:rPr>
              <w:t>设备等产生的噪声。本项目通过对噪声设备采取隔声、减震等措施，在风机的气流通道上加装消声器</w:t>
            </w:r>
            <w:r>
              <w:rPr>
                <w:rFonts w:hint="eastAsia"/>
                <w:color w:val="000000"/>
                <w:sz w:val="24"/>
              </w:rPr>
              <w:t>，</w:t>
            </w:r>
            <w:r>
              <w:rPr>
                <w:rFonts w:hint="eastAsia"/>
                <w:sz w:val="24"/>
              </w:rPr>
              <w:t>同时通过合理布设汽车行驶路线，严格控制货物搬运时间。</w:t>
            </w:r>
            <w:r>
              <w:rPr>
                <w:bCs/>
                <w:sz w:val="24"/>
              </w:rPr>
              <w:t>厂界噪声排放可达《工业企业厂界环境噪声排放标准》（GB12348-2008）中3类区对应标准限值，即昼间≤65 dB(A) ，夜间≤55 dB(A)。</w:t>
            </w:r>
            <w:r>
              <w:rPr>
                <w:color w:val="000000"/>
                <w:sz w:val="24"/>
              </w:rPr>
              <w:t>本项目全天到达物流中心的货车需求量约为</w:t>
            </w:r>
            <w:r>
              <w:rPr>
                <w:rFonts w:hint="eastAsia"/>
                <w:color w:val="000000"/>
                <w:sz w:val="24"/>
              </w:rPr>
              <w:t>1844</w:t>
            </w:r>
            <w:r>
              <w:rPr>
                <w:color w:val="000000"/>
                <w:sz w:val="24"/>
              </w:rPr>
              <w:t>车次，每小时车流量约为</w:t>
            </w:r>
            <w:r>
              <w:rPr>
                <w:rFonts w:hint="eastAsia"/>
                <w:color w:val="000000"/>
                <w:sz w:val="24"/>
              </w:rPr>
              <w:t>76</w:t>
            </w:r>
            <w:r>
              <w:rPr>
                <w:color w:val="000000"/>
                <w:sz w:val="24"/>
              </w:rPr>
              <w:t>辆。从总体来看，本项目开发后产生的交通增量较小，对地块周边道路特别是干道的交通影响程度较小。</w:t>
            </w:r>
            <w:r>
              <w:rPr>
                <w:bCs/>
                <w:sz w:val="24"/>
              </w:rPr>
              <w:t>本项目的噪声对区域声环境质量无显著影响。</w:t>
            </w:r>
          </w:p>
          <w:p>
            <w:pPr>
              <w:spacing w:line="360" w:lineRule="auto"/>
              <w:ind w:firstLine="480"/>
              <w:rPr>
                <w:color w:val="000000"/>
                <w:sz w:val="24"/>
              </w:rPr>
            </w:pPr>
            <w:r>
              <w:rPr>
                <w:rFonts w:hint="eastAsia" w:ascii="宋体" w:hAnsi="宋体" w:cs="宋体"/>
                <w:color w:val="000000"/>
                <w:sz w:val="24"/>
              </w:rPr>
              <w:t>⑷</w:t>
            </w:r>
            <w:r>
              <w:rPr>
                <w:color w:val="000000"/>
                <w:sz w:val="24"/>
              </w:rPr>
              <w:t>固废</w:t>
            </w:r>
          </w:p>
          <w:p>
            <w:pPr>
              <w:spacing w:line="360" w:lineRule="auto"/>
              <w:ind w:firstLine="480" w:firstLineChars="200"/>
              <w:rPr>
                <w:color w:val="000000"/>
                <w:sz w:val="24"/>
              </w:rPr>
            </w:pPr>
            <w:r>
              <w:rPr>
                <w:color w:val="000000"/>
                <w:sz w:val="24"/>
              </w:rPr>
              <w:t>项目职工生活垃圾由环卫部门统一清运，统一处理处置，</w:t>
            </w:r>
            <w:r>
              <w:rPr>
                <w:rFonts w:hint="eastAsia"/>
                <w:sz w:val="24"/>
              </w:rPr>
              <w:t>废包装经收集后外售</w:t>
            </w:r>
            <w:r>
              <w:rPr>
                <w:sz w:val="24"/>
              </w:rPr>
              <w:t>。</w:t>
            </w:r>
            <w:r>
              <w:rPr>
                <w:color w:val="000000"/>
                <w:sz w:val="24"/>
              </w:rPr>
              <w:t>因此，项目运营后固体废物可以得到合理有效的处置，外排量为零，不会对周围环境产生二次污染。</w:t>
            </w:r>
          </w:p>
          <w:p>
            <w:pPr>
              <w:spacing w:line="360" w:lineRule="auto"/>
              <w:ind w:firstLine="480"/>
              <w:rPr>
                <w:color w:val="000000"/>
                <w:sz w:val="24"/>
              </w:rPr>
            </w:pPr>
            <w:r>
              <w:rPr>
                <w:color w:val="000000"/>
                <w:sz w:val="24"/>
              </w:rPr>
              <w:t>6、清洁生产</w:t>
            </w:r>
          </w:p>
          <w:p>
            <w:pPr>
              <w:spacing w:line="360" w:lineRule="auto"/>
              <w:ind w:firstLine="570"/>
              <w:rPr>
                <w:color w:val="000000"/>
                <w:sz w:val="24"/>
              </w:rPr>
            </w:pPr>
            <w:r>
              <w:rPr>
                <w:rFonts w:hint="eastAsia"/>
                <w:color w:val="000000"/>
                <w:sz w:val="24"/>
              </w:rPr>
              <w:t>本项目是以</w:t>
            </w:r>
            <w:r>
              <w:rPr>
                <w:sz w:val="24"/>
              </w:rPr>
              <w:t>服装鞋帽、婴儿用品、食品、化妆品、汽车用品、珠宝、书籍、乐器等</w:t>
            </w:r>
            <w:r>
              <w:rPr>
                <w:rFonts w:hint="eastAsia"/>
                <w:color w:val="000000"/>
                <w:sz w:val="24"/>
              </w:rPr>
              <w:t>配送为主的现代物流业，主要进行百货商品的运输、仓储、装卸、整理、配送、信息服务，从运输工具、仓储建筑、作业工序、公用工程设备使用、信息服务等几个方面，项目通过信息技术与网络技术的应用，提供增值服务，推进商品结构调整，提高华东地区物流的产业化、标准化生产水平，体现了清洁生产的理念。</w:t>
            </w:r>
          </w:p>
          <w:p>
            <w:pPr>
              <w:spacing w:line="360" w:lineRule="auto"/>
              <w:ind w:firstLine="480"/>
              <w:rPr>
                <w:sz w:val="24"/>
              </w:rPr>
            </w:pPr>
            <w:r>
              <w:rPr>
                <w:color w:val="000000"/>
                <w:sz w:val="24"/>
              </w:rPr>
              <w:t>7、项目</w:t>
            </w:r>
            <w:r>
              <w:rPr>
                <w:sz w:val="24"/>
              </w:rPr>
              <w:t>污染物总量控制方案</w:t>
            </w:r>
          </w:p>
          <w:p>
            <w:pPr>
              <w:spacing w:line="360" w:lineRule="auto"/>
              <w:ind w:firstLine="480"/>
              <w:rPr>
                <w:sz w:val="24"/>
              </w:rPr>
            </w:pPr>
            <w:r>
              <w:rPr>
                <w:sz w:val="24"/>
              </w:rPr>
              <w:t>大气污染物：本项目大气污染物为地面运输车辆汽车尾气，不进行总量考核。</w:t>
            </w:r>
          </w:p>
          <w:p>
            <w:pPr>
              <w:spacing w:line="360" w:lineRule="auto"/>
              <w:ind w:firstLine="480"/>
              <w:rPr>
                <w:color w:val="000000"/>
                <w:sz w:val="24"/>
              </w:rPr>
            </w:pPr>
            <w:r>
              <w:rPr>
                <w:color w:val="000000"/>
                <w:sz w:val="24"/>
              </w:rPr>
              <w:t>项目建成后水污染物的接管总量考核指标为：水污染物的接管总量考核指标为：</w:t>
            </w:r>
            <w:r>
              <w:rPr>
                <w:sz w:val="24"/>
              </w:rPr>
              <w:t>污水量</w:t>
            </w:r>
            <w:r>
              <w:rPr>
                <w:rFonts w:hint="eastAsia"/>
                <w:sz w:val="24"/>
              </w:rPr>
              <w:t>26816</w:t>
            </w:r>
            <w:r>
              <w:rPr>
                <w:sz w:val="24"/>
              </w:rPr>
              <w:t>m</w:t>
            </w:r>
            <w:r>
              <w:rPr>
                <w:sz w:val="24"/>
                <w:vertAlign w:val="superscript"/>
              </w:rPr>
              <w:t>3</w:t>
            </w:r>
            <w:r>
              <w:rPr>
                <w:sz w:val="24"/>
              </w:rPr>
              <w:t>/a，COD</w:t>
            </w:r>
            <w:r>
              <w:rPr>
                <w:rFonts w:hint="eastAsia"/>
                <w:sz w:val="24"/>
              </w:rPr>
              <w:t>8.04</w:t>
            </w:r>
            <w:r>
              <w:rPr>
                <w:sz w:val="24"/>
              </w:rPr>
              <w:t>t/a、SS</w:t>
            </w:r>
            <w:r>
              <w:rPr>
                <w:rFonts w:hint="eastAsia"/>
                <w:sz w:val="24"/>
              </w:rPr>
              <w:t>4.69</w:t>
            </w:r>
            <w:r>
              <w:rPr>
                <w:sz w:val="24"/>
              </w:rPr>
              <w:t>t/a、氨氮0.</w:t>
            </w:r>
            <w:r>
              <w:rPr>
                <w:rFonts w:hint="eastAsia"/>
                <w:sz w:val="24"/>
              </w:rPr>
              <w:t>75</w:t>
            </w:r>
            <w:r>
              <w:rPr>
                <w:sz w:val="24"/>
              </w:rPr>
              <w:t>t/a、TP0.</w:t>
            </w:r>
            <w:r>
              <w:rPr>
                <w:rFonts w:hint="eastAsia"/>
                <w:sz w:val="24"/>
              </w:rPr>
              <w:t>09</w:t>
            </w:r>
            <w:r>
              <w:rPr>
                <w:sz w:val="24"/>
              </w:rPr>
              <w:t>t/a；经</w:t>
            </w:r>
            <w:r>
              <w:rPr>
                <w:rFonts w:hint="eastAsia"/>
                <w:sz w:val="24"/>
              </w:rPr>
              <w:t>城南</w:t>
            </w:r>
            <w:r>
              <w:rPr>
                <w:sz w:val="24"/>
              </w:rPr>
              <w:t>污水处理厂处理后的最终排放指标为：COD</w:t>
            </w:r>
            <w:r>
              <w:rPr>
                <w:rFonts w:hint="eastAsia"/>
                <w:sz w:val="24"/>
              </w:rPr>
              <w:t xml:space="preserve"> 1.34</w:t>
            </w:r>
            <w:r>
              <w:rPr>
                <w:sz w:val="24"/>
              </w:rPr>
              <w:t>t/a，SS</w:t>
            </w:r>
            <w:r>
              <w:rPr>
                <w:rFonts w:hint="eastAsia"/>
                <w:sz w:val="24"/>
              </w:rPr>
              <w:t xml:space="preserve"> 0.27</w:t>
            </w:r>
            <w:r>
              <w:rPr>
                <w:sz w:val="24"/>
              </w:rPr>
              <w:t>t/a，NH</w:t>
            </w:r>
            <w:r>
              <w:rPr>
                <w:sz w:val="24"/>
                <w:vertAlign w:val="subscript"/>
              </w:rPr>
              <w:t>3</w:t>
            </w:r>
            <w:r>
              <w:rPr>
                <w:sz w:val="24"/>
              </w:rPr>
              <w:t>-N 0.</w:t>
            </w:r>
            <w:r>
              <w:rPr>
                <w:rFonts w:hint="eastAsia"/>
                <w:sz w:val="24"/>
              </w:rPr>
              <w:t>13</w:t>
            </w:r>
            <w:r>
              <w:rPr>
                <w:sz w:val="24"/>
              </w:rPr>
              <w:t>t/a，TP 0.</w:t>
            </w:r>
            <w:r>
              <w:rPr>
                <w:rFonts w:hint="eastAsia"/>
                <w:sz w:val="24"/>
              </w:rPr>
              <w:t>013</w:t>
            </w:r>
            <w:r>
              <w:rPr>
                <w:sz w:val="24"/>
              </w:rPr>
              <w:t>t/a</w:t>
            </w:r>
            <w:r>
              <w:rPr>
                <w:rFonts w:hint="eastAsia"/>
                <w:sz w:val="24"/>
              </w:rPr>
              <w:t>，</w:t>
            </w:r>
            <w:r>
              <w:rPr>
                <w:color w:val="000000"/>
                <w:sz w:val="24"/>
              </w:rPr>
              <w:t>总量在</w:t>
            </w:r>
            <w:r>
              <w:rPr>
                <w:rFonts w:hint="eastAsia"/>
                <w:color w:val="000000"/>
                <w:sz w:val="24"/>
              </w:rPr>
              <w:t>城南</w:t>
            </w:r>
            <w:r>
              <w:rPr>
                <w:color w:val="000000"/>
                <w:sz w:val="24"/>
              </w:rPr>
              <w:t>污水处理厂申请指标内平衡。</w:t>
            </w:r>
          </w:p>
          <w:p>
            <w:pPr>
              <w:spacing w:line="360" w:lineRule="auto"/>
              <w:ind w:firstLine="480" w:firstLineChars="200"/>
              <w:rPr>
                <w:color w:val="0000FF"/>
                <w:sz w:val="24"/>
              </w:rPr>
            </w:pPr>
            <w:r>
              <w:rPr>
                <w:color w:val="000000"/>
                <w:sz w:val="24"/>
              </w:rPr>
              <w:t>项目运营期内产生的固体废物主要为生活垃圾、</w:t>
            </w:r>
            <w:r>
              <w:rPr>
                <w:rFonts w:hint="eastAsia"/>
                <w:color w:val="000000"/>
                <w:sz w:val="24"/>
              </w:rPr>
              <w:t>废包装</w:t>
            </w:r>
            <w:r>
              <w:rPr>
                <w:color w:val="000000"/>
                <w:sz w:val="24"/>
              </w:rPr>
              <w:t>，生活垃圾</w:t>
            </w:r>
            <w:r>
              <w:rPr>
                <w:rFonts w:hint="eastAsia"/>
                <w:color w:val="000000"/>
                <w:sz w:val="24"/>
              </w:rPr>
              <w:t>125.7</w:t>
            </w:r>
            <w:r>
              <w:rPr>
                <w:color w:val="000000"/>
                <w:sz w:val="24"/>
              </w:rPr>
              <w:t>t/a</w:t>
            </w:r>
            <w:r>
              <w:rPr>
                <w:rFonts w:hint="eastAsia"/>
                <w:color w:val="000000"/>
                <w:sz w:val="24"/>
              </w:rPr>
              <w:t>，</w:t>
            </w:r>
            <w:r>
              <w:rPr>
                <w:color w:val="000000"/>
                <w:sz w:val="24"/>
              </w:rPr>
              <w:t>由环卫部门统一收集处理；</w:t>
            </w:r>
            <w:r>
              <w:rPr>
                <w:rFonts w:hint="eastAsia"/>
                <w:color w:val="000000"/>
                <w:sz w:val="24"/>
              </w:rPr>
              <w:t>废包装5.8</w:t>
            </w:r>
            <w:r>
              <w:rPr>
                <w:color w:val="000000"/>
                <w:sz w:val="24"/>
              </w:rPr>
              <w:t>t/a</w:t>
            </w:r>
            <w:r>
              <w:rPr>
                <w:rFonts w:hint="eastAsia"/>
                <w:color w:val="000000"/>
                <w:sz w:val="24"/>
              </w:rPr>
              <w:t>、办公垃圾0.15t/a，收集后外售</w:t>
            </w:r>
            <w:r>
              <w:rPr>
                <w:color w:val="000000"/>
                <w:sz w:val="24"/>
              </w:rPr>
              <w:t>，</w:t>
            </w:r>
            <w:r>
              <w:rPr>
                <w:rFonts w:hint="eastAsia"/>
                <w:color w:val="000000"/>
                <w:sz w:val="24"/>
              </w:rPr>
              <w:t>废机油0.8</w:t>
            </w:r>
            <w:r>
              <w:rPr>
                <w:color w:val="000000"/>
                <w:sz w:val="24"/>
              </w:rPr>
              <w:t>t/a</w:t>
            </w:r>
            <w:r>
              <w:rPr>
                <w:rFonts w:hint="eastAsia"/>
                <w:color w:val="000000"/>
                <w:sz w:val="24"/>
              </w:rPr>
              <w:t>，委托南京市孝武润滑油添加剂经营部处理</w:t>
            </w:r>
            <w:r>
              <w:rPr>
                <w:color w:val="000000"/>
                <w:sz w:val="24"/>
              </w:rPr>
              <w:t>本项目产生的固废均得到妥善处理，不作总量控制。</w:t>
            </w:r>
          </w:p>
          <w:p>
            <w:pPr>
              <w:spacing w:line="360" w:lineRule="auto"/>
              <w:ind w:firstLine="482" w:firstLineChars="200"/>
              <w:rPr>
                <w:b/>
                <w:bCs/>
                <w:sz w:val="24"/>
              </w:rPr>
            </w:pPr>
            <w:r>
              <w:rPr>
                <w:b/>
                <w:sz w:val="24"/>
              </w:rPr>
              <w:t>综上所述，南京鼎邦网络科技有限公司雨花物流自动化二期项目选址符合区域相关发展规划，符合国家及地方相关产业政策，选址可行；项目设计布局基本合理，采取的污染防治措施基本有效，在落实本项目提出的各项污染防治措施后，项目实施后污染物可达标排放；项目实施后，由于三</w:t>
            </w:r>
            <w:r>
              <w:rPr>
                <w:b/>
                <w:bCs/>
                <w:sz w:val="24"/>
              </w:rPr>
              <w:t>废排放量较小，能够达到区域内总量控制目标要求；项目建设对环境的影响可控制在较小的范围之内；本项目符合清洁生产原则。因此，从环境保护角度考虑，本项目在拟选地址内建设是可行的。</w:t>
            </w:r>
          </w:p>
          <w:p>
            <w:pPr>
              <w:spacing w:line="360" w:lineRule="auto"/>
              <w:ind w:firstLine="480" w:firstLineChars="200"/>
              <w:rPr>
                <w:color w:val="000000"/>
                <w:sz w:val="24"/>
              </w:rPr>
            </w:pPr>
            <w:r>
              <w:rPr>
                <w:color w:val="000000"/>
                <w:sz w:val="24"/>
              </w:rPr>
              <w:t>二、要求和建议</w:t>
            </w:r>
          </w:p>
          <w:p>
            <w:pPr>
              <w:spacing w:line="360" w:lineRule="auto"/>
              <w:ind w:firstLine="480" w:firstLineChars="200"/>
              <w:rPr>
                <w:color w:val="000000"/>
                <w:sz w:val="24"/>
              </w:rPr>
            </w:pPr>
            <w:r>
              <w:rPr>
                <w:color w:val="000000"/>
                <w:sz w:val="24"/>
              </w:rPr>
              <w:t>1、本环评表评估结论是根据建设单位提供资料的基础上分析得到。若建设规模扩大、设备变化、总平面布置发生较大变化等，应报请环保部门重新编制环境评价报告；</w:t>
            </w:r>
          </w:p>
          <w:p>
            <w:pPr>
              <w:spacing w:line="360" w:lineRule="auto"/>
              <w:ind w:firstLine="480" w:firstLineChars="200"/>
              <w:rPr>
                <w:color w:val="000000"/>
                <w:sz w:val="24"/>
              </w:rPr>
            </w:pPr>
            <w:r>
              <w:rPr>
                <w:color w:val="000000"/>
                <w:sz w:val="24"/>
              </w:rPr>
              <w:t>2、本项目涉及的消防、安全及卫生问题，不属于本项目环境影响评价范围，请公司按国家有关法律、法规和相关标准执行。</w:t>
            </w:r>
          </w:p>
          <w:p>
            <w:pPr>
              <w:spacing w:line="360" w:lineRule="auto"/>
              <w:ind w:firstLine="480" w:firstLineChars="200"/>
              <w:rPr>
                <w:color w:val="000000"/>
                <w:sz w:val="24"/>
              </w:rPr>
            </w:pPr>
            <w:r>
              <w:rPr>
                <w:color w:val="000000"/>
                <w:sz w:val="24"/>
              </w:rPr>
              <w:t>3、关心并积极听取周边居民等人员、单位的反映，定期向项目最高管理者和当地环保部门汇报项目环境保护工作的情况，同时接受当地环境保护部门的监督和管理。</w:t>
            </w:r>
          </w:p>
          <w:p>
            <w:pPr>
              <w:spacing w:line="360" w:lineRule="auto"/>
              <w:ind w:firstLine="480"/>
              <w:rPr>
                <w:rFonts w:hint="eastAsia"/>
                <w:color w:val="000000"/>
                <w:sz w:val="24"/>
              </w:rPr>
            </w:pPr>
            <w:r>
              <w:rPr>
                <w:color w:val="000000"/>
                <w:sz w:val="24"/>
              </w:rPr>
              <w:t>4、</w:t>
            </w:r>
            <w:r>
              <w:rPr>
                <w:rFonts w:hint="eastAsia"/>
                <w:color w:val="000000"/>
                <w:sz w:val="24"/>
              </w:rPr>
              <w:t>本项目研发办公用房主要</w:t>
            </w:r>
            <w:r>
              <w:rPr>
                <w:color w:val="000000"/>
                <w:sz w:val="24"/>
              </w:rPr>
              <w:t>进行物流交易、配送、仓储等专业软件系统研发，</w:t>
            </w:r>
            <w:r>
              <w:rPr>
                <w:rFonts w:hint="eastAsia"/>
                <w:color w:val="000000"/>
                <w:sz w:val="24"/>
              </w:rPr>
              <w:t>以云服务为构架，打造专业协同型供应链，建立资源共享型管理模式，创建功能复合型服务集成的物流信息技术服务平台。本项目研发办公用房均为建设单位专用，建成后不得将本项目研发办公用房分割转让（包括出售、交换和赠与）给与本项目用地类型及研发内容不相符的企业或机构。</w:t>
            </w:r>
          </w:p>
          <w:p>
            <w:pPr>
              <w:spacing w:line="360" w:lineRule="auto"/>
              <w:ind w:firstLine="480" w:firstLineChars="200"/>
              <w:rPr>
                <w:color w:val="000000"/>
                <w:sz w:val="24"/>
              </w:rPr>
            </w:pPr>
            <w:r>
              <w:rPr>
                <w:rFonts w:hint="eastAsia"/>
                <w:color w:val="000000"/>
                <w:sz w:val="24"/>
              </w:rPr>
              <w:t>5、</w:t>
            </w:r>
            <w:r>
              <w:rPr>
                <w:color w:val="000000"/>
                <w:sz w:val="24"/>
              </w:rPr>
              <w:t>建设单位必须严格执行“三同时”，切实做到环保治理设施与主体工程同时设计、同时施工、同时投产使用。</w:t>
            </w:r>
          </w:p>
        </w:tc>
      </w:tr>
    </w:tbl>
    <w:p>
      <w:pPr>
        <w:rPr>
          <w:rFonts w:eastAsia="黑体"/>
          <w:color w:val="000000"/>
          <w:sz w:val="24"/>
        </w:rPr>
      </w:pPr>
    </w:p>
    <w:p>
      <w:pPr>
        <w:rPr>
          <w:rFonts w:eastAsia="黑体"/>
          <w:color w:val="000000"/>
          <w:sz w:val="24"/>
        </w:rPr>
      </w:pPr>
      <w:r>
        <w:rPr>
          <w:rFonts w:eastAsia="黑体"/>
          <w:color w:val="000000"/>
          <w:sz w:val="24"/>
        </w:rPr>
        <w:t>审批意见</w:t>
      </w:r>
    </w:p>
    <w:tbl>
      <w:tblPr>
        <w:tblStyle w:val="33"/>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vAlign w:val="top"/>
          </w:tcPr>
          <w:p>
            <w:pPr>
              <w:spacing w:line="360" w:lineRule="auto"/>
              <w:rPr>
                <w:color w:val="000000"/>
                <w:sz w:val="24"/>
              </w:rPr>
            </w:pPr>
            <w:r>
              <w:rPr>
                <w:rFonts w:eastAsia="黑体"/>
                <w:color w:val="000000"/>
                <w:sz w:val="24"/>
              </w:rPr>
              <w:t>预审意见</w:t>
            </w:r>
            <w:r>
              <w:rPr>
                <w:color w:val="000000"/>
                <w:sz w:val="24"/>
              </w:rPr>
              <w:t>：</w:t>
            </w: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r>
              <w:rPr>
                <w:color w:val="000000"/>
                <w:sz w:val="24"/>
              </w:rPr>
              <w:t xml:space="preserve">                                                        公    章</w:t>
            </w:r>
          </w:p>
          <w:p>
            <w:pPr>
              <w:spacing w:line="360" w:lineRule="auto"/>
              <w:rPr>
                <w:color w:val="000000"/>
                <w:sz w:val="24"/>
              </w:rPr>
            </w:pPr>
          </w:p>
          <w:p>
            <w:pPr>
              <w:spacing w:line="360" w:lineRule="auto"/>
              <w:rPr>
                <w:color w:val="000000"/>
                <w:sz w:val="24"/>
              </w:rPr>
            </w:pPr>
            <w:r>
              <w:rPr>
                <w:color w:val="000000"/>
                <w:sz w:val="24"/>
              </w:rPr>
              <w:t>经办人：                                            年      月      日</w:t>
            </w:r>
          </w:p>
          <w:p>
            <w:pPr>
              <w:spacing w:line="360" w:lineRule="auto"/>
              <w:rPr>
                <w:color w:val="000000"/>
                <w:sz w:val="24"/>
              </w:rPr>
            </w:pPr>
          </w:p>
          <w:p>
            <w:pPr>
              <w:spacing w:line="360" w:lineRule="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vAlign w:val="top"/>
          </w:tcPr>
          <w:p>
            <w:pPr>
              <w:spacing w:line="360" w:lineRule="auto"/>
              <w:rPr>
                <w:color w:val="000000"/>
                <w:sz w:val="24"/>
              </w:rPr>
            </w:pPr>
          </w:p>
          <w:p>
            <w:pPr>
              <w:spacing w:line="360" w:lineRule="auto"/>
              <w:rPr>
                <w:color w:val="000000"/>
                <w:sz w:val="24"/>
              </w:rPr>
            </w:pPr>
            <w:r>
              <w:rPr>
                <w:rFonts w:eastAsia="黑体"/>
                <w:color w:val="000000"/>
                <w:sz w:val="24"/>
              </w:rPr>
              <w:t>下一级环境保护行政主管部门审查意见</w:t>
            </w:r>
            <w:r>
              <w:rPr>
                <w:color w:val="000000"/>
                <w:sz w:val="24"/>
              </w:rPr>
              <w:t>：</w:t>
            </w: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r>
              <w:rPr>
                <w:color w:val="000000"/>
                <w:sz w:val="24"/>
              </w:rPr>
              <w:t xml:space="preserve">                                                        公    章</w:t>
            </w:r>
          </w:p>
          <w:p>
            <w:pPr>
              <w:spacing w:line="360" w:lineRule="auto"/>
              <w:rPr>
                <w:color w:val="000000"/>
                <w:sz w:val="24"/>
              </w:rPr>
            </w:pPr>
          </w:p>
          <w:p>
            <w:pPr>
              <w:spacing w:line="360" w:lineRule="auto"/>
              <w:rPr>
                <w:color w:val="000000"/>
                <w:sz w:val="24"/>
              </w:rPr>
            </w:pPr>
            <w:r>
              <w:rPr>
                <w:color w:val="000000"/>
                <w:sz w:val="24"/>
              </w:rPr>
              <w:t>经办人：                                          年        月      日</w:t>
            </w:r>
          </w:p>
          <w:p>
            <w:pPr>
              <w:spacing w:line="360" w:lineRule="auto"/>
              <w:rPr>
                <w:color w:val="000000"/>
                <w:sz w:val="24"/>
              </w:rPr>
            </w:pPr>
          </w:p>
          <w:p>
            <w:pPr>
              <w:spacing w:line="360" w:lineRule="auto"/>
              <w:rPr>
                <w:color w:val="000000"/>
                <w:sz w:val="24"/>
              </w:rPr>
            </w:pPr>
          </w:p>
        </w:tc>
      </w:tr>
    </w:tbl>
    <w:p>
      <w:pPr>
        <w:rPr>
          <w:color w:val="000000"/>
          <w:sz w:val="24"/>
        </w:rPr>
      </w:pPr>
      <w:r>
        <w:rPr>
          <w:color w:val="000000"/>
          <w:sz w:val="24"/>
        </w:rPr>
        <w:br w:type="page"/>
      </w:r>
    </w:p>
    <w:tbl>
      <w:tblPr>
        <w:tblStyle w:val="33"/>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0" w:type="dxa"/>
            <w:vAlign w:val="top"/>
          </w:tcPr>
          <w:p>
            <w:pPr>
              <w:spacing w:line="360" w:lineRule="auto"/>
              <w:rPr>
                <w:color w:val="000000"/>
                <w:sz w:val="24"/>
              </w:rPr>
            </w:pPr>
          </w:p>
          <w:p>
            <w:pPr>
              <w:spacing w:line="360" w:lineRule="auto"/>
              <w:rPr>
                <w:color w:val="000000"/>
                <w:sz w:val="24"/>
              </w:rPr>
            </w:pPr>
            <w:r>
              <w:rPr>
                <w:rFonts w:eastAsia="黑体"/>
                <w:color w:val="000000"/>
                <w:sz w:val="24"/>
              </w:rPr>
              <w:t>审批意见</w:t>
            </w:r>
            <w:r>
              <w:rPr>
                <w:color w:val="000000"/>
                <w:sz w:val="24"/>
              </w:rPr>
              <w:t>：</w:t>
            </w: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r>
              <w:rPr>
                <w:color w:val="000000"/>
                <w:sz w:val="24"/>
              </w:rPr>
              <w:t xml:space="preserve">                                                        公   章</w:t>
            </w:r>
          </w:p>
          <w:p>
            <w:pPr>
              <w:spacing w:line="360" w:lineRule="auto"/>
              <w:rPr>
                <w:color w:val="000000"/>
                <w:sz w:val="24"/>
              </w:rPr>
            </w:pPr>
          </w:p>
          <w:p>
            <w:pPr>
              <w:spacing w:line="360" w:lineRule="auto"/>
              <w:rPr>
                <w:color w:val="000000"/>
                <w:sz w:val="24"/>
              </w:rPr>
            </w:pPr>
            <w:r>
              <w:rPr>
                <w:color w:val="000000"/>
                <w:sz w:val="24"/>
              </w:rPr>
              <w:t>经办人：                                          年       月      日</w:t>
            </w:r>
          </w:p>
          <w:p>
            <w:pPr>
              <w:spacing w:line="360" w:lineRule="auto"/>
              <w:rPr>
                <w:color w:val="000000"/>
                <w:sz w:val="24"/>
              </w:rPr>
            </w:pPr>
          </w:p>
          <w:p>
            <w:pPr>
              <w:spacing w:line="360" w:lineRule="auto"/>
              <w:rPr>
                <w:color w:val="000000"/>
                <w:sz w:val="24"/>
              </w:rPr>
            </w:pPr>
          </w:p>
          <w:p>
            <w:pPr>
              <w:spacing w:line="360" w:lineRule="auto"/>
              <w:rPr>
                <w:color w:val="000000"/>
                <w:sz w:val="24"/>
              </w:rPr>
            </w:pPr>
          </w:p>
        </w:tc>
      </w:tr>
    </w:tbl>
    <w:p>
      <w:pPr>
        <w:rPr>
          <w:color w:val="000000"/>
        </w:rPr>
      </w:pPr>
    </w:p>
    <w:sectPr>
      <w:pgSz w:w="11906" w:h="16838"/>
      <w:pgMar w:top="1440" w:right="1701" w:bottom="1440" w:left="170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Bookman Old Style">
    <w:altName w:val="Segoe Print"/>
    <w:panose1 w:val="02050604050505020204"/>
    <w:charset w:val="00"/>
    <w:family w:val="roman"/>
    <w:pitch w:val="default"/>
    <w:sig w:usb0="00000287" w:usb1="00000000" w:usb2="00000000" w:usb3="00000000" w:csb0="0000009F" w:csb1="00000000"/>
  </w:font>
  <w:font w:name="仿宋_GB2312">
    <w:altName w:val="仿宋"/>
    <w:panose1 w:val="02010609030101010101"/>
    <w:charset w:val="86"/>
    <w:family w:val="modern"/>
    <w:pitch w:val="default"/>
    <w:sig w:usb0="00000001" w:usb1="080E0000" w:usb2="00000010" w:usb3="00000000" w:csb0="00040000" w:csb1="00000000"/>
  </w:font>
  <w:font w:name="楷体_GB2312">
    <w:altName w:val="楷体"/>
    <w:panose1 w:val="02010609030101010101"/>
    <w:charset w:val="86"/>
    <w:family w:val="modern"/>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Black">
    <w:panose1 w:val="020B0A04020102020204"/>
    <w:charset w:val="00"/>
    <w:family w:val="swiss"/>
    <w:pitch w:val="default"/>
    <w:sig w:usb0="00000287" w:usb1="00000000" w:usb2="00000000" w:usb3="00000000" w:csb0="2000009F" w:csb1="DFD70000"/>
  </w:font>
  <w:font w:name="文鼎大标宋简">
    <w:altName w:val="宋体"/>
    <w:panose1 w:val="02010609010101010101"/>
    <w:charset w:val="86"/>
    <w:family w:val="modern"/>
    <w:pitch w:val="default"/>
    <w:sig w:usb0="00000000" w:usb1="080E0000" w:usb2="00000010" w:usb3="00000000" w:csb0="00040000" w:csb1="00000000"/>
  </w:font>
  <w:font w:name="TimesNewRomanPSMT">
    <w:altName w:val="Times New Roman"/>
    <w:panose1 w:val="00000000000000000000"/>
    <w:charset w:val="00"/>
    <w:family w:val="roman"/>
    <w:pitch w:val="default"/>
    <w:sig w:usb0="00000003" w:usb1="080E0000" w:usb2="00000010" w:usb3="00000000" w:csb0="00040001" w:csb1="00000000"/>
  </w:font>
  <w:font w:name="SymbolMT">
    <w:altName w:val="宋体"/>
    <w:panose1 w:val="00000000000000000000"/>
    <w:charset w:val="86"/>
    <w:family w:val="auto"/>
    <w:pitch w:val="default"/>
    <w:sig w:usb0="00000001" w:usb1="080E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1"/>
      <w:framePr w:wrap="around" w:vAnchor="text" w:hAnchor="margin" w:xAlign="center" w:y="1"/>
      <w:rPr>
        <w:rStyle w:val="29"/>
      </w:rPr>
    </w:pPr>
    <w:r>
      <w:fldChar w:fldCharType="begin"/>
    </w:r>
    <w:r>
      <w:rPr>
        <w:rStyle w:val="29"/>
      </w:rPr>
      <w:instrText xml:space="preserve">PAGE  </w:instrText>
    </w:r>
    <w:r>
      <w:fldChar w:fldCharType="separate"/>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1"/>
      <w:jc w:val="center"/>
    </w:pPr>
    <w:r>
      <w:fldChar w:fldCharType="begin"/>
    </w:r>
    <w:r>
      <w:rPr>
        <w:rStyle w:val="29"/>
      </w:rPr>
      <w:instrText xml:space="preserve"> PAGE </w:instrText>
    </w:r>
    <w:r>
      <w:fldChar w:fldCharType="separate"/>
    </w:r>
    <w:r>
      <w:rPr>
        <w:rStyle w:val="29"/>
        <w:lang w:val="zh-CN" w:eastAsia="zh-CN"/>
      </w:rPr>
      <w:t>17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1"/>
      <w:jc w:val="center"/>
    </w:pPr>
    <w:r>
      <w:fldChar w:fldCharType="begin"/>
    </w:r>
    <w:r>
      <w:rPr>
        <w:rStyle w:val="29"/>
      </w:rPr>
      <w:instrText xml:space="preserve"> PAGE </w:instrText>
    </w:r>
    <w:r>
      <w:fldChar w:fldCharType="separate"/>
    </w:r>
    <w:r>
      <w:rPr>
        <w:rStyle w:val="29"/>
        <w:lang w:val="zh-CN" w:eastAsia="zh-CN"/>
      </w:rPr>
      <w:t>43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74110629">
    <w:nsid w:val="7BA06AA5"/>
    <w:multiLevelType w:val="multilevel"/>
    <w:tmpl w:val="7BA06AA5"/>
    <w:lvl w:ilvl="0" w:tentative="1">
      <w:start w:val="1"/>
      <w:numFmt w:val="bullet"/>
      <w:lvlText w:val=""/>
      <w:lvlJc w:val="left"/>
      <w:pPr>
        <w:tabs>
          <w:tab w:val="left" w:pos="910"/>
        </w:tabs>
        <w:ind w:left="910" w:hanging="420"/>
      </w:pPr>
      <w:rPr>
        <w:rFonts w:hint="default" w:ascii="Wingdings" w:hAnsi="Wingdings"/>
      </w:rPr>
    </w:lvl>
    <w:lvl w:ilvl="1" w:tentative="1">
      <w:start w:val="1"/>
      <w:numFmt w:val="decimal"/>
      <w:lvlText w:val="%2."/>
      <w:lvlJc w:val="left"/>
      <w:pPr>
        <w:tabs>
          <w:tab w:val="left" w:pos="1330"/>
        </w:tabs>
        <w:ind w:left="1330" w:hanging="420"/>
      </w:pPr>
      <w:rPr>
        <w:rFonts w:hint="default"/>
      </w:rPr>
    </w:lvl>
    <w:lvl w:ilvl="2" w:tentative="1">
      <w:start w:val="1"/>
      <w:numFmt w:val="bullet"/>
      <w:lvlText w:val=""/>
      <w:lvlJc w:val="left"/>
      <w:pPr>
        <w:tabs>
          <w:tab w:val="left" w:pos="1750"/>
        </w:tabs>
        <w:ind w:left="1750" w:hanging="420"/>
      </w:pPr>
      <w:rPr>
        <w:rFonts w:hint="default" w:ascii="Wingdings" w:hAnsi="Wingdings"/>
      </w:rPr>
    </w:lvl>
    <w:lvl w:ilvl="3" w:tentative="1">
      <w:start w:val="1"/>
      <w:numFmt w:val="bullet"/>
      <w:lvlText w:val=""/>
      <w:lvlJc w:val="left"/>
      <w:pPr>
        <w:tabs>
          <w:tab w:val="left" w:pos="2170"/>
        </w:tabs>
        <w:ind w:left="2170" w:hanging="420"/>
      </w:pPr>
      <w:rPr>
        <w:rFonts w:hint="default" w:ascii="Wingdings" w:hAnsi="Wingdings"/>
      </w:rPr>
    </w:lvl>
    <w:lvl w:ilvl="4" w:tentative="1">
      <w:start w:val="1"/>
      <w:numFmt w:val="bullet"/>
      <w:lvlText w:val=""/>
      <w:lvlJc w:val="left"/>
      <w:pPr>
        <w:tabs>
          <w:tab w:val="left" w:pos="2590"/>
        </w:tabs>
        <w:ind w:left="2590" w:hanging="420"/>
      </w:pPr>
      <w:rPr>
        <w:rFonts w:hint="default" w:ascii="Wingdings" w:hAnsi="Wingdings"/>
      </w:rPr>
    </w:lvl>
    <w:lvl w:ilvl="5" w:tentative="1">
      <w:start w:val="1"/>
      <w:numFmt w:val="bullet"/>
      <w:lvlText w:val=""/>
      <w:lvlJc w:val="left"/>
      <w:pPr>
        <w:tabs>
          <w:tab w:val="left" w:pos="3010"/>
        </w:tabs>
        <w:ind w:left="3010" w:hanging="420"/>
      </w:pPr>
      <w:rPr>
        <w:rFonts w:hint="default" w:ascii="Wingdings" w:hAnsi="Wingdings"/>
      </w:rPr>
    </w:lvl>
    <w:lvl w:ilvl="6" w:tentative="1">
      <w:start w:val="1"/>
      <w:numFmt w:val="bullet"/>
      <w:lvlText w:val=""/>
      <w:lvlJc w:val="left"/>
      <w:pPr>
        <w:tabs>
          <w:tab w:val="left" w:pos="3430"/>
        </w:tabs>
        <w:ind w:left="3430" w:hanging="420"/>
      </w:pPr>
      <w:rPr>
        <w:rFonts w:hint="default" w:ascii="Wingdings" w:hAnsi="Wingdings"/>
      </w:rPr>
    </w:lvl>
    <w:lvl w:ilvl="7" w:tentative="1">
      <w:start w:val="1"/>
      <w:numFmt w:val="bullet"/>
      <w:lvlText w:val=""/>
      <w:lvlJc w:val="left"/>
      <w:pPr>
        <w:tabs>
          <w:tab w:val="left" w:pos="3850"/>
        </w:tabs>
        <w:ind w:left="3850" w:hanging="420"/>
      </w:pPr>
      <w:rPr>
        <w:rFonts w:hint="default" w:ascii="Wingdings" w:hAnsi="Wingdings"/>
      </w:rPr>
    </w:lvl>
    <w:lvl w:ilvl="8" w:tentative="1">
      <w:start w:val="1"/>
      <w:numFmt w:val="bullet"/>
      <w:lvlText w:val=""/>
      <w:lvlJc w:val="left"/>
      <w:pPr>
        <w:tabs>
          <w:tab w:val="left" w:pos="4270"/>
        </w:tabs>
        <w:ind w:left="4270" w:hanging="420"/>
      </w:pPr>
      <w:rPr>
        <w:rFonts w:hint="default" w:ascii="Wingdings" w:hAnsi="Wingdings"/>
      </w:rPr>
    </w:lvl>
  </w:abstractNum>
  <w:abstractNum w:abstractNumId="1343432804">
    <w:nsid w:val="50132864"/>
    <w:multiLevelType w:val="multilevel"/>
    <w:tmpl w:val="50132864"/>
    <w:lvl w:ilvl="0" w:tentative="1">
      <w:start w:val="1"/>
      <w:numFmt w:val="decimal"/>
      <w:lvlText w:val="（%1）"/>
      <w:lvlJc w:val="left"/>
      <w:pPr>
        <w:tabs>
          <w:tab w:val="left" w:pos="720"/>
        </w:tabs>
        <w:ind w:left="720" w:hanging="7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2074110629"/>
  </w:num>
  <w:num w:numId="2">
    <w:abstractNumId w:val="13434328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538"/>
    <w:rsid w:val="00021B74"/>
    <w:rsid w:val="000315B0"/>
    <w:rsid w:val="0004726D"/>
    <w:rsid w:val="00055350"/>
    <w:rsid w:val="00061F1C"/>
    <w:rsid w:val="000637C4"/>
    <w:rsid w:val="000747D4"/>
    <w:rsid w:val="00076324"/>
    <w:rsid w:val="00085C2D"/>
    <w:rsid w:val="00091ED0"/>
    <w:rsid w:val="000C4604"/>
    <w:rsid w:val="000D5887"/>
    <w:rsid w:val="000D60BC"/>
    <w:rsid w:val="000E7914"/>
    <w:rsid w:val="00116A2A"/>
    <w:rsid w:val="00150201"/>
    <w:rsid w:val="00155F07"/>
    <w:rsid w:val="00161D84"/>
    <w:rsid w:val="00163637"/>
    <w:rsid w:val="001812E7"/>
    <w:rsid w:val="00183886"/>
    <w:rsid w:val="001A38F5"/>
    <w:rsid w:val="001A5CB5"/>
    <w:rsid w:val="001C2FB6"/>
    <w:rsid w:val="001D507B"/>
    <w:rsid w:val="00210FDD"/>
    <w:rsid w:val="00225832"/>
    <w:rsid w:val="00234942"/>
    <w:rsid w:val="0025074A"/>
    <w:rsid w:val="00250955"/>
    <w:rsid w:val="002528CB"/>
    <w:rsid w:val="00253766"/>
    <w:rsid w:val="002559E4"/>
    <w:rsid w:val="00265441"/>
    <w:rsid w:val="002B05C2"/>
    <w:rsid w:val="002C23E6"/>
    <w:rsid w:val="002E047D"/>
    <w:rsid w:val="002E353A"/>
    <w:rsid w:val="002F7D52"/>
    <w:rsid w:val="003412D6"/>
    <w:rsid w:val="003425A3"/>
    <w:rsid w:val="003479B9"/>
    <w:rsid w:val="0035301A"/>
    <w:rsid w:val="00356AF9"/>
    <w:rsid w:val="003573CE"/>
    <w:rsid w:val="00362288"/>
    <w:rsid w:val="00374FBD"/>
    <w:rsid w:val="0038708E"/>
    <w:rsid w:val="00391436"/>
    <w:rsid w:val="00392A93"/>
    <w:rsid w:val="003A5E23"/>
    <w:rsid w:val="003B23AC"/>
    <w:rsid w:val="003B4A02"/>
    <w:rsid w:val="003C51D5"/>
    <w:rsid w:val="003C5DBE"/>
    <w:rsid w:val="003D0E29"/>
    <w:rsid w:val="003D3E70"/>
    <w:rsid w:val="003E0806"/>
    <w:rsid w:val="003E2357"/>
    <w:rsid w:val="003E6966"/>
    <w:rsid w:val="003F7883"/>
    <w:rsid w:val="0040288C"/>
    <w:rsid w:val="004308ED"/>
    <w:rsid w:val="004527B9"/>
    <w:rsid w:val="004556B4"/>
    <w:rsid w:val="004649D8"/>
    <w:rsid w:val="00475BEC"/>
    <w:rsid w:val="004820BD"/>
    <w:rsid w:val="00485264"/>
    <w:rsid w:val="00487663"/>
    <w:rsid w:val="00490117"/>
    <w:rsid w:val="004903C2"/>
    <w:rsid w:val="004B4CDD"/>
    <w:rsid w:val="004C2BE3"/>
    <w:rsid w:val="004D2825"/>
    <w:rsid w:val="004E69B1"/>
    <w:rsid w:val="00511399"/>
    <w:rsid w:val="005139D5"/>
    <w:rsid w:val="00515EE7"/>
    <w:rsid w:val="00525794"/>
    <w:rsid w:val="005338BD"/>
    <w:rsid w:val="00542885"/>
    <w:rsid w:val="00551BE3"/>
    <w:rsid w:val="0055276D"/>
    <w:rsid w:val="0055310A"/>
    <w:rsid w:val="00566F40"/>
    <w:rsid w:val="005953B4"/>
    <w:rsid w:val="005A36D0"/>
    <w:rsid w:val="005C2067"/>
    <w:rsid w:val="005C36FC"/>
    <w:rsid w:val="005C7DE6"/>
    <w:rsid w:val="005F20F4"/>
    <w:rsid w:val="00630AA3"/>
    <w:rsid w:val="0064592A"/>
    <w:rsid w:val="00646803"/>
    <w:rsid w:val="0065330F"/>
    <w:rsid w:val="00666921"/>
    <w:rsid w:val="006B6C54"/>
    <w:rsid w:val="006C6032"/>
    <w:rsid w:val="006E35C9"/>
    <w:rsid w:val="006F6C31"/>
    <w:rsid w:val="007040AC"/>
    <w:rsid w:val="0072199C"/>
    <w:rsid w:val="007268DD"/>
    <w:rsid w:val="007301FE"/>
    <w:rsid w:val="00731BEB"/>
    <w:rsid w:val="007375A6"/>
    <w:rsid w:val="0074376F"/>
    <w:rsid w:val="00771E5A"/>
    <w:rsid w:val="0077528D"/>
    <w:rsid w:val="00780E43"/>
    <w:rsid w:val="007A3536"/>
    <w:rsid w:val="007A4005"/>
    <w:rsid w:val="007C4E25"/>
    <w:rsid w:val="007D1A83"/>
    <w:rsid w:val="007D4ADA"/>
    <w:rsid w:val="007D584A"/>
    <w:rsid w:val="007E542D"/>
    <w:rsid w:val="007F4945"/>
    <w:rsid w:val="00800E5E"/>
    <w:rsid w:val="0085768D"/>
    <w:rsid w:val="00863836"/>
    <w:rsid w:val="00894742"/>
    <w:rsid w:val="00895439"/>
    <w:rsid w:val="008A766E"/>
    <w:rsid w:val="008B014C"/>
    <w:rsid w:val="008D3603"/>
    <w:rsid w:val="008F27FB"/>
    <w:rsid w:val="008F4B64"/>
    <w:rsid w:val="008F5551"/>
    <w:rsid w:val="0090070B"/>
    <w:rsid w:val="00911259"/>
    <w:rsid w:val="0091767C"/>
    <w:rsid w:val="0092014C"/>
    <w:rsid w:val="00926284"/>
    <w:rsid w:val="00930C98"/>
    <w:rsid w:val="00935AD4"/>
    <w:rsid w:val="0095247E"/>
    <w:rsid w:val="00956ED1"/>
    <w:rsid w:val="00970549"/>
    <w:rsid w:val="009901ED"/>
    <w:rsid w:val="00995F62"/>
    <w:rsid w:val="009D5032"/>
    <w:rsid w:val="009E3ED8"/>
    <w:rsid w:val="009F1899"/>
    <w:rsid w:val="009F5CF1"/>
    <w:rsid w:val="009F70C5"/>
    <w:rsid w:val="00A01563"/>
    <w:rsid w:val="00A02141"/>
    <w:rsid w:val="00A27B00"/>
    <w:rsid w:val="00A31AF6"/>
    <w:rsid w:val="00A53586"/>
    <w:rsid w:val="00A56E75"/>
    <w:rsid w:val="00A84DB5"/>
    <w:rsid w:val="00A92A06"/>
    <w:rsid w:val="00A93FD9"/>
    <w:rsid w:val="00AB34DD"/>
    <w:rsid w:val="00AF06E9"/>
    <w:rsid w:val="00AF5A83"/>
    <w:rsid w:val="00AF7705"/>
    <w:rsid w:val="00B03785"/>
    <w:rsid w:val="00B0572B"/>
    <w:rsid w:val="00B110B3"/>
    <w:rsid w:val="00B13E35"/>
    <w:rsid w:val="00B25E30"/>
    <w:rsid w:val="00B30A3C"/>
    <w:rsid w:val="00B375F1"/>
    <w:rsid w:val="00B44A73"/>
    <w:rsid w:val="00B518F0"/>
    <w:rsid w:val="00B564D0"/>
    <w:rsid w:val="00B5659C"/>
    <w:rsid w:val="00B63CD7"/>
    <w:rsid w:val="00B64999"/>
    <w:rsid w:val="00B675A1"/>
    <w:rsid w:val="00B74E3D"/>
    <w:rsid w:val="00B9720B"/>
    <w:rsid w:val="00BB2DC5"/>
    <w:rsid w:val="00BC2AD9"/>
    <w:rsid w:val="00BC418B"/>
    <w:rsid w:val="00BC55C8"/>
    <w:rsid w:val="00BD0052"/>
    <w:rsid w:val="00BD0354"/>
    <w:rsid w:val="00BE3053"/>
    <w:rsid w:val="00C21C58"/>
    <w:rsid w:val="00C3639A"/>
    <w:rsid w:val="00C550E4"/>
    <w:rsid w:val="00C96AC7"/>
    <w:rsid w:val="00CA20DB"/>
    <w:rsid w:val="00CC56BE"/>
    <w:rsid w:val="00CC70B0"/>
    <w:rsid w:val="00CD52A1"/>
    <w:rsid w:val="00CE417E"/>
    <w:rsid w:val="00CE5B4F"/>
    <w:rsid w:val="00CF04DB"/>
    <w:rsid w:val="00CF1BCD"/>
    <w:rsid w:val="00D106D4"/>
    <w:rsid w:val="00D1254A"/>
    <w:rsid w:val="00D33FF2"/>
    <w:rsid w:val="00D34157"/>
    <w:rsid w:val="00D47378"/>
    <w:rsid w:val="00D94B82"/>
    <w:rsid w:val="00DB7A2C"/>
    <w:rsid w:val="00DC3BAE"/>
    <w:rsid w:val="00DD524E"/>
    <w:rsid w:val="00DE6A3B"/>
    <w:rsid w:val="00DF1F70"/>
    <w:rsid w:val="00DF566C"/>
    <w:rsid w:val="00E01E59"/>
    <w:rsid w:val="00E05E98"/>
    <w:rsid w:val="00E073FB"/>
    <w:rsid w:val="00E10AB7"/>
    <w:rsid w:val="00E16935"/>
    <w:rsid w:val="00E20472"/>
    <w:rsid w:val="00E265F9"/>
    <w:rsid w:val="00E306B1"/>
    <w:rsid w:val="00E330B4"/>
    <w:rsid w:val="00E5403B"/>
    <w:rsid w:val="00E64E92"/>
    <w:rsid w:val="00E7009E"/>
    <w:rsid w:val="00E73AFC"/>
    <w:rsid w:val="00EA3979"/>
    <w:rsid w:val="00EB38C7"/>
    <w:rsid w:val="00ED730F"/>
    <w:rsid w:val="00EE78B9"/>
    <w:rsid w:val="00EF1C34"/>
    <w:rsid w:val="00EF3EC0"/>
    <w:rsid w:val="00F04BDA"/>
    <w:rsid w:val="00F04F91"/>
    <w:rsid w:val="00F11C00"/>
    <w:rsid w:val="00F23F7C"/>
    <w:rsid w:val="00F36FDB"/>
    <w:rsid w:val="00F46A84"/>
    <w:rsid w:val="00F54A61"/>
    <w:rsid w:val="00F7082A"/>
    <w:rsid w:val="00F9016C"/>
    <w:rsid w:val="00FA355E"/>
    <w:rsid w:val="00FA5EE0"/>
    <w:rsid w:val="00FB00C0"/>
    <w:rsid w:val="00FB3A55"/>
    <w:rsid w:val="00FD2D76"/>
    <w:rsid w:val="025D6BED"/>
    <w:rsid w:val="043351FE"/>
    <w:rsid w:val="04C01D07"/>
    <w:rsid w:val="04DC7576"/>
    <w:rsid w:val="077A6C8C"/>
    <w:rsid w:val="0A7504F6"/>
    <w:rsid w:val="108D4FD4"/>
    <w:rsid w:val="14BE5E3B"/>
    <w:rsid w:val="16DC4314"/>
    <w:rsid w:val="1DA10BA9"/>
    <w:rsid w:val="20C04E2D"/>
    <w:rsid w:val="20C34BCC"/>
    <w:rsid w:val="28AF6CCE"/>
    <w:rsid w:val="298D7EA2"/>
    <w:rsid w:val="36306DF5"/>
    <w:rsid w:val="38625193"/>
    <w:rsid w:val="3AF056AF"/>
    <w:rsid w:val="3B9C3FD8"/>
    <w:rsid w:val="3BDC4505"/>
    <w:rsid w:val="3DBA00AB"/>
    <w:rsid w:val="3FAF5707"/>
    <w:rsid w:val="40F612A2"/>
    <w:rsid w:val="42382BB3"/>
    <w:rsid w:val="44B24BF9"/>
    <w:rsid w:val="48415743"/>
    <w:rsid w:val="4964641E"/>
    <w:rsid w:val="4A5B288E"/>
    <w:rsid w:val="5411167A"/>
    <w:rsid w:val="563F740B"/>
    <w:rsid w:val="59BC606F"/>
    <w:rsid w:val="5ACB3F81"/>
    <w:rsid w:val="5C1874A6"/>
    <w:rsid w:val="5C3C0960"/>
    <w:rsid w:val="60E115FE"/>
    <w:rsid w:val="696D3481"/>
    <w:rsid w:val="6ECD4657"/>
    <w:rsid w:val="71147D94"/>
    <w:rsid w:val="718B5455"/>
    <w:rsid w:val="726752DC"/>
    <w:rsid w:val="727876D6"/>
    <w:rsid w:val="737623A2"/>
    <w:rsid w:val="749271DD"/>
    <w:rsid w:val="75201B39"/>
    <w:rsid w:val="75256A69"/>
    <w:rsid w:val="76C61E69"/>
    <w:rsid w:val="77BA483A"/>
    <w:rsid w:val="7A1D5B23"/>
    <w:rsid w:val="7B4703AC"/>
    <w:rsid w:val="7F602A87"/>
    <w:rsid w:val="7FFF388A"/>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3">
    <w:name w:val="heading 2"/>
    <w:basedOn w:val="1"/>
    <w:next w:val="1"/>
    <w:link w:val="93"/>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7">
    <w:name w:val="Default Paragraph Font"/>
    <w:uiPriority w:val="0"/>
    <w:rPr>
      <w:sz w:val="24"/>
    </w:rPr>
  </w:style>
  <w:style w:type="table" w:default="1" w:styleId="33">
    <w:name w:val="Normal Table"/>
    <w:semiHidden/>
    <w:uiPriority w:val="0"/>
    <w:tblPr>
      <w:tblStyle w:val="33"/>
      <w:tblLayout w:type="fixed"/>
      <w:tblCellMar>
        <w:top w:w="0" w:type="dxa"/>
        <w:left w:w="108" w:type="dxa"/>
        <w:bottom w:w="0" w:type="dxa"/>
        <w:right w:w="108" w:type="dxa"/>
      </w:tblCellMar>
    </w:tblPr>
    <w:tcPr>
      <w:textDirection w:val="lrTb"/>
    </w:tcPr>
  </w:style>
  <w:style w:type="paragraph" w:styleId="6">
    <w:name w:val="annotation subject"/>
    <w:basedOn w:val="7"/>
    <w:next w:val="7"/>
    <w:uiPriority w:val="0"/>
    <w:rPr>
      <w:b/>
      <w:bCs/>
    </w:rPr>
  </w:style>
  <w:style w:type="paragraph" w:styleId="7">
    <w:name w:val="annotation text"/>
    <w:basedOn w:val="1"/>
    <w:link w:val="82"/>
    <w:uiPriority w:val="0"/>
    <w:pPr>
      <w:jc w:val="left"/>
    </w:pPr>
  </w:style>
  <w:style w:type="paragraph" w:styleId="8">
    <w:name w:val="Body Text First Indent"/>
    <w:basedOn w:val="9"/>
    <w:uiPriority w:val="0"/>
    <w:pPr>
      <w:ind w:firstLine="420" w:firstLineChars="100"/>
    </w:pPr>
  </w:style>
  <w:style w:type="paragraph" w:styleId="9">
    <w:name w:val="Body Text"/>
    <w:basedOn w:val="1"/>
    <w:uiPriority w:val="0"/>
    <w:pPr>
      <w:spacing w:line="240" w:lineRule="atLeast"/>
      <w:ind w:right="-154"/>
    </w:pPr>
    <w:rPr>
      <w:rFonts w:ascii="宋体"/>
      <w:sz w:val="24"/>
      <w:szCs w:val="20"/>
    </w:rPr>
  </w:style>
  <w:style w:type="paragraph" w:styleId="10">
    <w:name w:val="Normal Indent"/>
    <w:basedOn w:val="1"/>
    <w:link w:val="80"/>
    <w:uiPriority w:val="0"/>
    <w:pPr>
      <w:spacing w:line="440" w:lineRule="exact"/>
      <w:ind w:firstLine="420"/>
    </w:pPr>
    <w:rPr>
      <w:rFonts w:ascii="Bookman Old Style" w:hAnsi="Bookman Old Style"/>
      <w:sz w:val="24"/>
      <w:szCs w:val="20"/>
    </w:rPr>
  </w:style>
  <w:style w:type="paragraph" w:styleId="11">
    <w:name w:val="caption"/>
    <w:next w:val="12"/>
    <w:link w:val="79"/>
    <w:qFormat/>
    <w:uiPriority w:val="0"/>
    <w:pPr>
      <w:spacing w:line="360" w:lineRule="auto"/>
      <w:jc w:val="center"/>
    </w:pPr>
    <w:rPr>
      <w:rFonts w:eastAsia="仿宋_GB2312" w:cs="Arial"/>
      <w:b/>
      <w:sz w:val="24"/>
      <w:szCs w:val="21"/>
      <w:lang w:val="en-US" w:eastAsia="zh-CN" w:bidi="ar-SA"/>
    </w:rPr>
  </w:style>
  <w:style w:type="paragraph" w:customStyle="1" w:styleId="12">
    <w:name w:val="报告正文"/>
    <w:link w:val="90"/>
    <w:uiPriority w:val="0"/>
    <w:pPr>
      <w:adjustRightInd w:val="0"/>
      <w:snapToGrid w:val="0"/>
      <w:spacing w:line="360" w:lineRule="auto"/>
      <w:ind w:firstLine="200" w:firstLineChars="200"/>
    </w:pPr>
    <w:rPr>
      <w:bCs/>
      <w:kern w:val="44"/>
      <w:sz w:val="24"/>
      <w:szCs w:val="44"/>
      <w:lang w:val="en-US" w:eastAsia="zh-CN" w:bidi="ar-SA"/>
    </w:rPr>
  </w:style>
  <w:style w:type="paragraph" w:styleId="13">
    <w:name w:val="index 5"/>
    <w:basedOn w:val="1"/>
    <w:next w:val="1"/>
    <w:uiPriority w:val="0"/>
    <w:pPr>
      <w:spacing w:line="320" w:lineRule="exact"/>
      <w:jc w:val="center"/>
    </w:pPr>
    <w:rPr>
      <w:rFonts w:ascii="仿宋_GB2312" w:eastAsia="仿宋_GB2312"/>
      <w:sz w:val="28"/>
      <w:szCs w:val="20"/>
    </w:rPr>
  </w:style>
  <w:style w:type="paragraph" w:styleId="14">
    <w:name w:val="Document Map"/>
    <w:basedOn w:val="1"/>
    <w:uiPriority w:val="0"/>
    <w:pPr>
      <w:shd w:val="clear" w:color="auto" w:fill="000080"/>
    </w:pPr>
  </w:style>
  <w:style w:type="paragraph" w:styleId="15">
    <w:name w:val="Body Text Indent"/>
    <w:basedOn w:val="1"/>
    <w:uiPriority w:val="0"/>
    <w:pPr>
      <w:spacing w:after="120" w:afterLines="0"/>
      <w:ind w:left="420" w:leftChars="200"/>
    </w:pPr>
  </w:style>
  <w:style w:type="paragraph" w:styleId="16">
    <w:name w:val="List 2"/>
    <w:basedOn w:val="1"/>
    <w:uiPriority w:val="0"/>
    <w:pPr>
      <w:spacing w:line="360" w:lineRule="exact"/>
      <w:jc w:val="center"/>
    </w:pPr>
    <w:rPr>
      <w:rFonts w:ascii="仿宋_GB2312" w:eastAsia="仿宋_GB2312"/>
      <w:szCs w:val="20"/>
    </w:rPr>
  </w:style>
  <w:style w:type="paragraph" w:styleId="17">
    <w:name w:val="Plain Text"/>
    <w:basedOn w:val="1"/>
    <w:link w:val="86"/>
    <w:uiPriority w:val="0"/>
    <w:rPr>
      <w:rFonts w:ascii="宋体" w:hAnsi="Courier New" w:cs="Courier New"/>
      <w:szCs w:val="21"/>
    </w:rPr>
  </w:style>
  <w:style w:type="paragraph" w:styleId="18">
    <w:name w:val="Date"/>
    <w:basedOn w:val="1"/>
    <w:next w:val="1"/>
    <w:uiPriority w:val="0"/>
    <w:rPr>
      <w:rFonts w:eastAsia="仿宋_GB2312"/>
      <w:sz w:val="28"/>
      <w:szCs w:val="20"/>
    </w:rPr>
  </w:style>
  <w:style w:type="paragraph" w:styleId="19">
    <w:name w:val="Body Text Indent 2"/>
    <w:basedOn w:val="1"/>
    <w:uiPriority w:val="0"/>
    <w:pPr>
      <w:spacing w:after="120" w:afterLines="0" w:line="480" w:lineRule="auto"/>
      <w:ind w:left="420" w:leftChars="200"/>
    </w:pPr>
    <w:rPr>
      <w:sz w:val="24"/>
      <w:szCs w:val="20"/>
    </w:rPr>
  </w:style>
  <w:style w:type="paragraph" w:styleId="20">
    <w:name w:val="Balloon Text"/>
    <w:basedOn w:val="1"/>
    <w:uiPriority w:val="0"/>
    <w:rPr>
      <w:sz w:val="18"/>
      <w:szCs w:val="18"/>
    </w:rPr>
  </w:style>
  <w:style w:type="paragraph" w:styleId="21">
    <w:name w:val="footer"/>
    <w:basedOn w:val="1"/>
    <w:uiPriority w:val="0"/>
    <w:pPr>
      <w:tabs>
        <w:tab w:val="center" w:pos="4153"/>
        <w:tab w:val="right" w:pos="8306"/>
      </w:tabs>
      <w:snapToGrid w:val="0"/>
      <w:jc w:val="left"/>
    </w:pPr>
    <w:rPr>
      <w:sz w:val="18"/>
      <w:szCs w:val="18"/>
    </w:rPr>
  </w:style>
  <w:style w:type="paragraph" w:styleId="2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3">
    <w:name w:val="List"/>
    <w:basedOn w:val="1"/>
    <w:uiPriority w:val="0"/>
    <w:pPr>
      <w:ind w:left="200" w:hanging="200" w:hangingChars="200"/>
    </w:pPr>
  </w:style>
  <w:style w:type="paragraph" w:styleId="24">
    <w:name w:val="toc 2"/>
    <w:next w:val="1"/>
    <w:uiPriority w:val="0"/>
    <w:pPr>
      <w:widowControl w:val="0"/>
      <w:spacing w:before="120"/>
      <w:ind w:left="210"/>
    </w:pPr>
    <w:rPr>
      <w:i/>
      <w:iCs/>
      <w:kern w:val="2"/>
      <w:sz w:val="24"/>
      <w:lang w:val="en-US" w:eastAsia="zh-CN" w:bidi="ar-SA"/>
    </w:rPr>
  </w:style>
  <w:style w:type="paragraph" w:styleId="25">
    <w:name w:val="Normal (Web)"/>
    <w:basedOn w:val="1"/>
    <w:uiPriority w:val="0"/>
    <w:pPr>
      <w:widowControl/>
      <w:spacing w:before="100" w:beforeLines="0" w:beforeAutospacing="1" w:after="100" w:afterLines="0" w:afterAutospacing="1"/>
      <w:jc w:val="left"/>
    </w:pPr>
    <w:rPr>
      <w:rFonts w:ascii="宋体" w:hAnsi="宋体"/>
      <w:color w:val="000000"/>
      <w:kern w:val="0"/>
      <w:sz w:val="24"/>
    </w:rPr>
  </w:style>
  <w:style w:type="paragraph" w:styleId="26">
    <w:name w:val="index 1"/>
    <w:basedOn w:val="1"/>
    <w:next w:val="1"/>
    <w:uiPriority w:val="0"/>
  </w:style>
  <w:style w:type="character" w:styleId="28">
    <w:name w:val="Strong"/>
    <w:qFormat/>
    <w:uiPriority w:val="0"/>
    <w:rPr>
      <w:b/>
      <w:bCs/>
      <w:sz w:val="24"/>
    </w:rPr>
  </w:style>
  <w:style w:type="character" w:styleId="29">
    <w:name w:val="page number"/>
    <w:basedOn w:val="27"/>
    <w:uiPriority w:val="0"/>
  </w:style>
  <w:style w:type="character" w:styleId="30">
    <w:name w:val="Emphasis"/>
    <w:qFormat/>
    <w:uiPriority w:val="0"/>
    <w:rPr>
      <w:color w:val="CC0033"/>
      <w:sz w:val="24"/>
    </w:rPr>
  </w:style>
  <w:style w:type="character" w:styleId="31">
    <w:name w:val="Hyperlink"/>
    <w:uiPriority w:val="0"/>
    <w:rPr>
      <w:color w:val="0000FF"/>
      <w:sz w:val="24"/>
      <w:u w:val="single"/>
    </w:rPr>
  </w:style>
  <w:style w:type="character" w:styleId="32">
    <w:name w:val="annotation reference"/>
    <w:uiPriority w:val="0"/>
    <w:rPr>
      <w:sz w:val="21"/>
      <w:szCs w:val="21"/>
    </w:rPr>
  </w:style>
  <w:style w:type="table" w:styleId="34">
    <w:name w:val="Table Grid"/>
    <w:basedOn w:val="33"/>
    <w:uiPriority w:val="0"/>
    <w:tblPr>
      <w:tblStyle w:val="3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35">
    <w:name w:val="默认段落字体 Para Char Char Char1 Char Char Char Char Char Char Char Char Char Char"/>
    <w:basedOn w:val="1"/>
    <w:uiPriority w:val="0"/>
    <w:rPr>
      <w:sz w:val="24"/>
    </w:rPr>
  </w:style>
  <w:style w:type="paragraph" w:customStyle="1" w:styleId="36">
    <w:name w:val="xl23"/>
    <w:basedOn w:val="1"/>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eastAsia="Arial Unicode MS"/>
      <w:kern w:val="0"/>
      <w:sz w:val="24"/>
    </w:rPr>
  </w:style>
  <w:style w:type="paragraph" w:customStyle="1" w:styleId="37">
    <w:name w:val="标题正4"/>
    <w:basedOn w:val="1"/>
    <w:uiPriority w:val="0"/>
    <w:pPr>
      <w:spacing w:line="280" w:lineRule="exact"/>
      <w:jc w:val="center"/>
    </w:pPr>
    <w:rPr>
      <w:rFonts w:ascii="仿宋_GB2312" w:hAnsi="宋体" w:eastAsia="仿宋_GB2312"/>
      <w:kern w:val="0"/>
      <w:szCs w:val="21"/>
    </w:rPr>
  </w:style>
  <w:style w:type="paragraph" w:customStyle="1" w:styleId="38">
    <w:name w:val="Char Char Char Char Char Char Char Char Char Char"/>
    <w:basedOn w:val="1"/>
    <w:uiPriority w:val="0"/>
    <w:rPr>
      <w:rFonts w:ascii="黑体" w:hAnsi="黑体" w:eastAsia="黑体"/>
      <w:b/>
      <w:spacing w:val="10"/>
      <w:sz w:val="28"/>
      <w:szCs w:val="20"/>
    </w:rPr>
  </w:style>
  <w:style w:type="paragraph" w:customStyle="1" w:styleId="39">
    <w:name w:val="表后文"/>
    <w:basedOn w:val="1"/>
    <w:link w:val="81"/>
    <w:uiPriority w:val="0"/>
    <w:pPr>
      <w:adjustRightInd w:val="0"/>
      <w:spacing w:before="120" w:beforeLines="0" w:line="400" w:lineRule="exact"/>
      <w:ind w:firstLine="601"/>
      <w:textAlignment w:val="baseline"/>
    </w:pPr>
    <w:rPr>
      <w:rFonts w:eastAsia="楷体_GB2312"/>
      <w:spacing w:val="8"/>
      <w:kern w:val="0"/>
      <w:sz w:val="28"/>
      <w:szCs w:val="20"/>
    </w:rPr>
  </w:style>
  <w:style w:type="paragraph" w:customStyle="1" w:styleId="40">
    <w:name w:val="正文B"/>
    <w:basedOn w:val="1"/>
    <w:link w:val="83"/>
    <w:uiPriority w:val="0"/>
    <w:pPr>
      <w:adjustRightInd w:val="0"/>
      <w:spacing w:line="390" w:lineRule="exact"/>
      <w:ind w:firstLine="601"/>
      <w:textAlignment w:val="baseline"/>
    </w:pPr>
    <w:rPr>
      <w:rFonts w:eastAsia="楷体_GB2312"/>
      <w:spacing w:val="8"/>
      <w:kern w:val="0"/>
      <w:sz w:val="28"/>
      <w:szCs w:val="20"/>
    </w:rPr>
  </w:style>
  <w:style w:type="paragraph" w:customStyle="1" w:styleId="41">
    <w:name w:val="项目编号"/>
    <w:basedOn w:val="1"/>
    <w:next w:val="1"/>
    <w:uiPriority w:val="0"/>
    <w:pPr>
      <w:spacing w:before="120" w:beforeLines="0" w:after="120" w:afterLines="0" w:line="360" w:lineRule="auto"/>
    </w:pPr>
    <w:rPr>
      <w:sz w:val="24"/>
      <w:szCs w:val="20"/>
    </w:rPr>
  </w:style>
  <w:style w:type="paragraph" w:customStyle="1" w:styleId="42">
    <w:name w:val="图文框"/>
    <w:basedOn w:val="1"/>
    <w:uiPriority w:val="0"/>
    <w:pPr>
      <w:spacing w:line="360" w:lineRule="auto"/>
      <w:jc w:val="center"/>
    </w:pPr>
    <w:rPr>
      <w:rFonts w:ascii="宋体"/>
      <w:szCs w:val="20"/>
    </w:rPr>
  </w:style>
  <w:style w:type="paragraph" w:customStyle="1" w:styleId="43">
    <w:name w:val=" Char"/>
    <w:basedOn w:val="1"/>
    <w:uiPriority w:val="0"/>
    <w:rPr>
      <w:sz w:val="24"/>
    </w:rPr>
  </w:style>
  <w:style w:type="paragraph" w:customStyle="1" w:styleId="44">
    <w:name w:val=" Char Char Char"/>
    <w:basedOn w:val="1"/>
    <w:uiPriority w:val="0"/>
    <w:rPr>
      <w:sz w:val="24"/>
    </w:rPr>
  </w:style>
  <w:style w:type="paragraph" w:customStyle="1" w:styleId="45">
    <w:name w:val="表蕊"/>
    <w:basedOn w:val="1"/>
    <w:link w:val="84"/>
    <w:uiPriority w:val="0"/>
    <w:pPr>
      <w:adjustRightInd w:val="0"/>
      <w:spacing w:line="320" w:lineRule="atLeast"/>
      <w:jc w:val="left"/>
      <w:textAlignment w:val="baseline"/>
    </w:pPr>
    <w:rPr>
      <w:rFonts w:eastAsia="楷体_GB2312"/>
      <w:spacing w:val="-10"/>
      <w:kern w:val="0"/>
      <w:szCs w:val="20"/>
    </w:rPr>
  </w:style>
  <w:style w:type="paragraph" w:customStyle="1" w:styleId="46">
    <w:name w:val=" Char2 Char Char Char"/>
    <w:basedOn w:val="1"/>
    <w:uiPriority w:val="0"/>
    <w:rPr>
      <w:sz w:val="24"/>
    </w:rPr>
  </w:style>
  <w:style w:type="paragraph" w:customStyle="1" w:styleId="47">
    <w:name w:val="5 Char"/>
    <w:basedOn w:val="1"/>
    <w:uiPriority w:val="0"/>
  </w:style>
  <w:style w:type="paragraph" w:customStyle="1" w:styleId="48">
    <w:name w:val="样式 Bookman Old Style 小四 首行缩进:  1.06 厘米 行距: 1.5 倍行距"/>
    <w:basedOn w:val="1"/>
    <w:uiPriority w:val="0"/>
    <w:pPr>
      <w:spacing w:line="520" w:lineRule="exact"/>
      <w:ind w:firstLine="601"/>
    </w:pPr>
    <w:rPr>
      <w:rFonts w:ascii="Bookman Old Style" w:hAnsi="Bookman Old Style"/>
      <w:sz w:val="24"/>
      <w:szCs w:val="20"/>
    </w:rPr>
  </w:style>
  <w:style w:type="paragraph" w:customStyle="1" w:styleId="49">
    <w:name w:val="文本正文"/>
    <w:basedOn w:val="1"/>
    <w:link w:val="91"/>
    <w:uiPriority w:val="0"/>
    <w:pPr>
      <w:spacing w:line="360" w:lineRule="auto"/>
      <w:ind w:firstLine="480" w:firstLineChars="200"/>
    </w:pPr>
    <w:rPr>
      <w:sz w:val="24"/>
      <w:szCs w:val="20"/>
    </w:rPr>
  </w:style>
  <w:style w:type="paragraph" w:customStyle="1" w:styleId="50">
    <w:name w:val=" Char Char Char Char Char Char Char"/>
    <w:basedOn w:val="1"/>
    <w:uiPriority w:val="0"/>
    <w:rPr>
      <w:sz w:val="24"/>
    </w:rPr>
  </w:style>
  <w:style w:type="paragraph" w:customStyle="1" w:styleId="51">
    <w:name w:val="默认段落字体 Para Char Char Char1 Char Char Char Char"/>
    <w:basedOn w:val="1"/>
    <w:uiPriority w:val="0"/>
    <w:rPr>
      <w:sz w:val="24"/>
    </w:rPr>
  </w:style>
  <w:style w:type="paragraph" w:customStyle="1" w:styleId="52">
    <w:name w:val="Char"/>
    <w:basedOn w:val="1"/>
    <w:uiPriority w:val="0"/>
    <w:pPr>
      <w:spacing w:line="240" w:lineRule="exact"/>
      <w:ind w:firstLine="200" w:firstLineChars="200"/>
    </w:pPr>
    <w:rPr>
      <w:sz w:val="28"/>
      <w:szCs w:val="28"/>
    </w:rPr>
  </w:style>
  <w:style w:type="paragraph" w:customStyle="1" w:styleId="53">
    <w:name w:val="样式 报告书表格 +"/>
    <w:basedOn w:val="1"/>
    <w:link w:val="88"/>
    <w:uiPriority w:val="0"/>
    <w:pPr>
      <w:spacing w:line="360" w:lineRule="auto"/>
      <w:jc w:val="center"/>
    </w:pPr>
    <w:rPr>
      <w:bCs/>
      <w:color w:val="0000FF"/>
      <w:kern w:val="44"/>
      <w:szCs w:val="21"/>
    </w:rPr>
  </w:style>
  <w:style w:type="paragraph" w:customStyle="1" w:styleId="54">
    <w:name w:val="表格内文字"/>
    <w:basedOn w:val="1"/>
    <w:uiPriority w:val="0"/>
    <w:pPr>
      <w:spacing w:before="100" w:beforeLines="0" w:after="100" w:afterLines="0" w:line="320" w:lineRule="exact"/>
      <w:jc w:val="center"/>
    </w:pPr>
    <w:rPr>
      <w:spacing w:val="10"/>
      <w:sz w:val="24"/>
      <w:szCs w:val="20"/>
    </w:rPr>
  </w:style>
  <w:style w:type="paragraph" w:customStyle="1" w:styleId="55">
    <w:name w:val="xl27"/>
    <w:basedOn w:val="1"/>
    <w:uiPriority w:val="0"/>
    <w:pPr>
      <w:widowControl/>
      <w:pBdr>
        <w:bottom w:val="single" w:color="auto" w:sz="12" w:space="0"/>
      </w:pBdr>
      <w:spacing w:before="100" w:beforeLines="0" w:after="100" w:afterLines="0"/>
      <w:jc w:val="center"/>
    </w:pPr>
    <w:rPr>
      <w:rFonts w:ascii="宋体" w:hAnsi="宋体"/>
      <w:kern w:val="0"/>
      <w:szCs w:val="20"/>
    </w:rPr>
  </w:style>
  <w:style w:type="paragraph" w:customStyle="1" w:styleId="56">
    <w:name w:val="xl54"/>
    <w:basedOn w:val="1"/>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center"/>
      <w:textAlignment w:val="top"/>
    </w:pPr>
    <w:rPr>
      <w:rFonts w:ascii="宋体" w:hAnsi="宋体"/>
      <w:kern w:val="0"/>
      <w:szCs w:val="21"/>
    </w:rPr>
  </w:style>
  <w:style w:type="paragraph" w:customStyle="1" w:styleId="57">
    <w:name w:val="项目名称"/>
    <w:basedOn w:val="1"/>
    <w:next w:val="1"/>
    <w:uiPriority w:val="0"/>
    <w:pPr>
      <w:spacing w:line="800" w:lineRule="atLeast"/>
      <w:jc w:val="center"/>
      <w:outlineLvl w:val="0"/>
    </w:pPr>
    <w:rPr>
      <w:rFonts w:ascii="黑体" w:eastAsia="黑体"/>
      <w:sz w:val="52"/>
      <w:szCs w:val="52"/>
    </w:rPr>
  </w:style>
  <w:style w:type="paragraph" w:customStyle="1" w:styleId="58">
    <w:name w:val="图表文字"/>
    <w:basedOn w:val="1"/>
    <w:uiPriority w:val="0"/>
    <w:pPr>
      <w:jc w:val="center"/>
    </w:pPr>
    <w:rPr>
      <w:rFonts w:ascii="仿宋_GB2312" w:eastAsia="仿宋_GB2312"/>
    </w:rPr>
  </w:style>
  <w:style w:type="paragraph" w:customStyle="1" w:styleId="59">
    <w:name w:val="样式21"/>
    <w:basedOn w:val="1"/>
    <w:uiPriority w:val="0"/>
    <w:pPr>
      <w:widowControl/>
      <w:spacing w:line="360" w:lineRule="auto"/>
      <w:ind w:firstLine="420"/>
      <w:jc w:val="center"/>
    </w:pPr>
    <w:rPr>
      <w:rFonts w:eastAsia="仿宋_GB2312" w:cs="Arial"/>
      <w:b/>
      <w:color w:val="0000FF"/>
      <w:kern w:val="0"/>
      <w:sz w:val="24"/>
      <w:szCs w:val="21"/>
    </w:rPr>
  </w:style>
  <w:style w:type="paragraph" w:customStyle="1" w:styleId="60">
    <w:name w:val="默认段落字体 Para Char Char Char Char"/>
    <w:basedOn w:val="1"/>
    <w:uiPriority w:val="0"/>
  </w:style>
  <w:style w:type="paragraph" w:customStyle="1" w:styleId="61">
    <w:name w:val=" Char Char Char Char Char Char"/>
    <w:basedOn w:val="1"/>
    <w:uiPriority w:val="0"/>
    <w:rPr>
      <w:rFonts w:eastAsia="仿宋_GB2312" w:cs="Arial"/>
      <w:b/>
      <w:sz w:val="24"/>
      <w:szCs w:val="21"/>
      <w:lang w:val="en-US" w:eastAsia="zh-CN" w:bidi="ar-SA"/>
    </w:rPr>
  </w:style>
  <w:style w:type="paragraph" w:customStyle="1" w:styleId="62">
    <w:name w:val="Default"/>
    <w:uiPriority w:val="0"/>
    <w:pPr>
      <w:widowControl w:val="0"/>
      <w:autoSpaceDE w:val="0"/>
      <w:autoSpaceDN w:val="0"/>
    </w:pPr>
    <w:rPr>
      <w:rFonts w:hint="eastAsia" w:ascii="宋体" w:hAnsi="宋体"/>
      <w:color w:val="000000"/>
      <w:sz w:val="24"/>
      <w:lang w:val="en-US" w:eastAsia="zh-CN" w:bidi="ar-SA"/>
    </w:rPr>
  </w:style>
  <w:style w:type="paragraph" w:customStyle="1" w:styleId="63">
    <w:name w:val="表头"/>
    <w:basedOn w:val="1"/>
    <w:link w:val="77"/>
    <w:uiPriority w:val="0"/>
    <w:pPr>
      <w:spacing w:line="320" w:lineRule="atLeast"/>
      <w:jc w:val="center"/>
    </w:pPr>
    <w:rPr>
      <w:rFonts w:eastAsia="黑体"/>
      <w:spacing w:val="-10"/>
      <w:kern w:val="0"/>
      <w:szCs w:val="11"/>
    </w:rPr>
  </w:style>
  <w:style w:type="paragraph" w:customStyle="1" w:styleId="64">
    <w:name w:val="Char1"/>
    <w:basedOn w:val="1"/>
    <w:uiPriority w:val="0"/>
    <w:pPr>
      <w:widowControl/>
      <w:spacing w:after="160" w:afterLines="0" w:line="240" w:lineRule="exact"/>
      <w:jc w:val="left"/>
    </w:pPr>
    <w:rPr>
      <w:szCs w:val="20"/>
    </w:rPr>
  </w:style>
  <w:style w:type="paragraph" w:customStyle="1" w:styleId="65">
    <w:name w:val="报告书正文"/>
    <w:basedOn w:val="1"/>
    <w:uiPriority w:val="0"/>
    <w:pPr>
      <w:adjustRightInd w:val="0"/>
      <w:snapToGrid w:val="0"/>
      <w:spacing w:line="360" w:lineRule="auto"/>
      <w:ind w:firstLine="425"/>
      <w:textAlignment w:val="baseline"/>
    </w:pPr>
    <w:rPr>
      <w:rFonts w:ascii="Arial" w:hAnsi="Arial"/>
      <w:kern w:val="0"/>
      <w:sz w:val="24"/>
    </w:rPr>
  </w:style>
  <w:style w:type="paragraph" w:customStyle="1" w:styleId="66">
    <w:name w:val="正文 首行缩进:  2 字符"/>
    <w:basedOn w:val="1"/>
    <w:uiPriority w:val="0"/>
    <w:pPr>
      <w:spacing w:line="460" w:lineRule="exact"/>
      <w:ind w:firstLine="480" w:firstLineChars="200"/>
    </w:pPr>
    <w:rPr>
      <w:rFonts w:cs="宋体"/>
      <w:sz w:val="24"/>
    </w:rPr>
  </w:style>
  <w:style w:type="paragraph" w:customStyle="1" w:styleId="67">
    <w:name w:val=" Char1 Char Char Char"/>
    <w:basedOn w:val="1"/>
    <w:uiPriority w:val="0"/>
    <w:rPr>
      <w:sz w:val="24"/>
    </w:rPr>
  </w:style>
  <w:style w:type="paragraph" w:customStyle="1" w:styleId="68">
    <w:name w:val="表居中（中文）"/>
    <w:basedOn w:val="1"/>
    <w:uiPriority w:val="0"/>
    <w:pPr>
      <w:adjustRightInd w:val="0"/>
      <w:spacing w:line="380" w:lineRule="atLeast"/>
      <w:jc w:val="center"/>
    </w:pPr>
    <w:rPr>
      <w:rFonts w:eastAsia="楷体_GB2312"/>
      <w:kern w:val="0"/>
      <w:szCs w:val="20"/>
    </w:rPr>
  </w:style>
  <w:style w:type="paragraph" w:customStyle="1" w:styleId="69">
    <w:name w:val="表格文字2"/>
    <w:basedOn w:val="1"/>
    <w:uiPriority w:val="0"/>
    <w:pPr>
      <w:tabs>
        <w:tab w:val="left" w:pos="277"/>
        <w:tab w:val="left" w:pos="600"/>
        <w:tab w:val="left" w:pos="780"/>
        <w:tab w:val="left" w:pos="2517"/>
      </w:tabs>
      <w:adjustRightInd w:val="0"/>
      <w:spacing w:before="60" w:line="240" w:lineRule="auto"/>
      <w:jc w:val="center"/>
      <w:textAlignment w:val="baseline"/>
    </w:pPr>
    <w:rPr>
      <w:kern w:val="0"/>
      <w:sz w:val="21"/>
      <w:szCs w:val="21"/>
    </w:rPr>
  </w:style>
  <w:style w:type="paragraph" w:customStyle="1" w:styleId="70">
    <w:name w:val="表"/>
    <w:link w:val="78"/>
    <w:uiPriority w:val="0"/>
    <w:pPr>
      <w:widowControl w:val="0"/>
      <w:adjustRightInd w:val="0"/>
      <w:snapToGrid w:val="0"/>
      <w:jc w:val="center"/>
    </w:pPr>
    <w:rPr>
      <w:rFonts w:cs="宋体"/>
      <w:kern w:val="2"/>
      <w:position w:val="-6"/>
      <w:sz w:val="21"/>
      <w:szCs w:val="24"/>
      <w:lang w:val="en-US" w:eastAsia="zh-CN" w:bidi="ar-SA"/>
    </w:rPr>
  </w:style>
  <w:style w:type="paragraph" w:customStyle="1" w:styleId="71">
    <w:name w:val="font5"/>
    <w:basedOn w:val="1"/>
    <w:uiPriority w:val="0"/>
    <w:pPr>
      <w:widowControl/>
      <w:spacing w:before="100" w:beforeLines="0" w:beforeAutospacing="1" w:after="100" w:afterLines="0" w:afterAutospacing="1"/>
      <w:jc w:val="left"/>
    </w:pPr>
    <w:rPr>
      <w:rFonts w:hint="eastAsia" w:ascii="仿宋_GB2312" w:hAnsi="Arial Unicode MS" w:eastAsia="仿宋_GB2312"/>
      <w:kern w:val="0"/>
      <w:sz w:val="18"/>
      <w:szCs w:val="18"/>
    </w:rPr>
  </w:style>
  <w:style w:type="paragraph" w:customStyle="1" w:styleId="72">
    <w:name w:val="表格文字"/>
    <w:basedOn w:val="1"/>
    <w:link w:val="85"/>
    <w:uiPriority w:val="0"/>
    <w:pPr>
      <w:jc w:val="center"/>
    </w:pPr>
    <w:rPr>
      <w:rFonts w:ascii="仿宋_GB2312" w:hAnsi="Arial Black" w:eastAsia="仿宋_GB2312"/>
      <w:kern w:val="44"/>
      <w:sz w:val="24"/>
      <w:szCs w:val="20"/>
    </w:rPr>
  </w:style>
  <w:style w:type="paragraph" w:customStyle="1" w:styleId="73">
    <w:name w:val="样式12"/>
    <w:basedOn w:val="11"/>
    <w:uiPriority w:val="0"/>
    <w:rPr>
      <w:color w:val="0000FF"/>
    </w:rPr>
  </w:style>
  <w:style w:type="paragraph" w:customStyle="1" w:styleId="74">
    <w:name w:val="正式用 表"/>
    <w:uiPriority w:val="0"/>
    <w:pPr>
      <w:spacing w:line="216" w:lineRule="auto"/>
      <w:jc w:val="center"/>
    </w:pPr>
    <w:rPr>
      <w:rFonts w:ascii="宋体" w:hAnsi="宋体"/>
      <w:sz w:val="21"/>
      <w:szCs w:val="21"/>
      <w:lang w:val="en-US" w:eastAsia="zh-CN" w:bidi="ar-SA"/>
    </w:rPr>
  </w:style>
  <w:style w:type="paragraph" w:customStyle="1" w:styleId="75">
    <w:name w:val="样式 列表 + 左侧:  0 厘米 悬挂缩进: 5.85 字符"/>
    <w:basedOn w:val="23"/>
    <w:uiPriority w:val="0"/>
    <w:pPr>
      <w:autoSpaceDE w:val="0"/>
      <w:autoSpaceDN w:val="0"/>
      <w:adjustRightInd w:val="0"/>
      <w:snapToGrid w:val="0"/>
      <w:ind w:left="0" w:leftChars="-8" w:hanging="17" w:hangingChars="8"/>
      <w:jc w:val="center"/>
    </w:pPr>
    <w:rPr>
      <w:color w:val="FF0000"/>
      <w:szCs w:val="21"/>
      <w:lang w:val="zh-CN" w:eastAsia="zh-CN"/>
    </w:rPr>
  </w:style>
  <w:style w:type="paragraph" w:customStyle="1" w:styleId="76">
    <w:name w:val=" Char Char1 Char Char Char Char"/>
    <w:basedOn w:val="1"/>
    <w:uiPriority w:val="0"/>
    <w:rPr>
      <w:sz w:val="24"/>
    </w:rPr>
  </w:style>
  <w:style w:type="character" w:customStyle="1" w:styleId="77">
    <w:name w:val="表头 Char Char"/>
    <w:link w:val="63"/>
    <w:uiPriority w:val="0"/>
    <w:rPr>
      <w:rFonts w:eastAsia="黑体"/>
      <w:spacing w:val="-10"/>
      <w:sz w:val="21"/>
      <w:szCs w:val="11"/>
      <w:lang w:val="en-US" w:eastAsia="zh-CN" w:bidi="ar-SA"/>
    </w:rPr>
  </w:style>
  <w:style w:type="character" w:customStyle="1" w:styleId="78">
    <w:name w:val="表 Char Char"/>
    <w:link w:val="70"/>
    <w:uiPriority w:val="0"/>
    <w:rPr>
      <w:rFonts w:cs="宋体"/>
      <w:kern w:val="2"/>
      <w:position w:val="-6"/>
      <w:sz w:val="21"/>
      <w:szCs w:val="24"/>
      <w:lang w:val="en-US" w:eastAsia="zh-CN" w:bidi="ar-SA"/>
    </w:rPr>
  </w:style>
  <w:style w:type="character" w:customStyle="1" w:styleId="79">
    <w:name w:val="题注 Char"/>
    <w:link w:val="11"/>
    <w:uiPriority w:val="0"/>
    <w:rPr>
      <w:rFonts w:eastAsia="仿宋_GB2312" w:cs="Arial"/>
      <w:b/>
      <w:sz w:val="24"/>
      <w:szCs w:val="21"/>
      <w:lang w:val="en-US" w:eastAsia="zh-CN" w:bidi="ar-SA"/>
    </w:rPr>
  </w:style>
  <w:style w:type="character" w:customStyle="1" w:styleId="80">
    <w:name w:val="正文缩进 Char"/>
    <w:aliases w:val="正文（首行缩进两字） Char Char Char Char Char Char Char Char,表格标题 Char,文本条款 Char,正文（首行缩进两字） Char Char Char Char Char Char Char Char Char Char Char Char Char Char Char Char Char Char Char Char Char Char Char Char C Char1,正文（首行缩进两字） Char Char1,s4 Char1"/>
    <w:link w:val="10"/>
    <w:uiPriority w:val="0"/>
    <w:rPr>
      <w:rFonts w:ascii="Bookman Old Style" w:hAnsi="Bookman Old Style" w:eastAsia="宋体"/>
      <w:kern w:val="2"/>
      <w:sz w:val="24"/>
      <w:lang w:val="en-US" w:eastAsia="zh-CN" w:bidi="ar-SA"/>
    </w:rPr>
  </w:style>
  <w:style w:type="character" w:customStyle="1" w:styleId="81">
    <w:name w:val="表后文 Char Char"/>
    <w:link w:val="39"/>
    <w:uiPriority w:val="0"/>
    <w:rPr>
      <w:rFonts w:eastAsia="楷体_GB2312"/>
      <w:spacing w:val="8"/>
      <w:sz w:val="28"/>
      <w:lang w:val="en-US" w:eastAsia="zh-CN" w:bidi="ar-SA"/>
    </w:rPr>
  </w:style>
  <w:style w:type="character" w:customStyle="1" w:styleId="82">
    <w:name w:val="批注文字 Char"/>
    <w:link w:val="7"/>
    <w:uiPriority w:val="0"/>
    <w:rPr>
      <w:kern w:val="2"/>
      <w:sz w:val="21"/>
      <w:szCs w:val="24"/>
    </w:rPr>
  </w:style>
  <w:style w:type="character" w:customStyle="1" w:styleId="83">
    <w:name w:val="正文B Char Char"/>
    <w:link w:val="40"/>
    <w:uiPriority w:val="0"/>
    <w:rPr>
      <w:rFonts w:eastAsia="楷体_GB2312"/>
      <w:spacing w:val="8"/>
      <w:sz w:val="28"/>
      <w:lang w:val="en-US" w:eastAsia="zh-CN" w:bidi="ar-SA"/>
    </w:rPr>
  </w:style>
  <w:style w:type="character" w:customStyle="1" w:styleId="84">
    <w:name w:val="表蕊 Char1"/>
    <w:link w:val="45"/>
    <w:uiPriority w:val="0"/>
    <w:rPr>
      <w:rFonts w:eastAsia="楷体_GB2312"/>
      <w:spacing w:val="-10"/>
      <w:sz w:val="21"/>
      <w:lang w:val="en-US" w:eastAsia="zh-CN" w:bidi="ar-SA"/>
    </w:rPr>
  </w:style>
  <w:style w:type="character" w:customStyle="1" w:styleId="85">
    <w:name w:val="表格文字 Char1"/>
    <w:link w:val="72"/>
    <w:uiPriority w:val="0"/>
    <w:rPr>
      <w:rFonts w:ascii="仿宋_GB2312" w:hAnsi="Arial Black" w:eastAsia="仿宋_GB2312"/>
      <w:kern w:val="44"/>
      <w:sz w:val="24"/>
      <w:lang w:val="en-US" w:eastAsia="zh-CN" w:bidi="ar-SA"/>
    </w:rPr>
  </w:style>
  <w:style w:type="character" w:customStyle="1" w:styleId="86">
    <w:name w:val="纯文本 Char"/>
    <w:aliases w:val="文字缩进 Char,普通文字 Char Char1,表内文字 Char,普通文字 Char Char Char Char,普通文字 Char Char Char Char Char Char Char Char Char,普通文字 Char Char Char Char Char Char Char Char1,普通文字 Char Char Char1,孙普文字 Char,Char Char,普通文字 Char1,body te Char,H4 Char"/>
    <w:link w:val="17"/>
    <w:uiPriority w:val="0"/>
    <w:rPr>
      <w:rFonts w:ascii="宋体" w:hAnsi="Courier New" w:eastAsia="宋体" w:cs="Courier New"/>
      <w:kern w:val="2"/>
      <w:sz w:val="21"/>
      <w:szCs w:val="21"/>
      <w:lang w:val="en-US" w:eastAsia="zh-CN" w:bidi="ar-SA"/>
    </w:rPr>
  </w:style>
  <w:style w:type="character" w:customStyle="1" w:styleId="87">
    <w:name w:val="apple-converted-space"/>
    <w:basedOn w:val="27"/>
    <w:uiPriority w:val="0"/>
  </w:style>
  <w:style w:type="character" w:customStyle="1" w:styleId="88">
    <w:name w:val="样式 报告书表格 + Char Char"/>
    <w:link w:val="53"/>
    <w:uiPriority w:val="0"/>
    <w:rPr>
      <w:rFonts w:eastAsia="宋体"/>
      <w:bCs/>
      <w:color w:val="0000FF"/>
      <w:kern w:val="44"/>
      <w:sz w:val="21"/>
      <w:szCs w:val="21"/>
      <w:lang w:val="en-US" w:eastAsia="zh-CN" w:bidi="ar-SA"/>
    </w:rPr>
  </w:style>
  <w:style w:type="character" w:customStyle="1" w:styleId="89">
    <w:name w:val="font_text1"/>
    <w:uiPriority w:val="0"/>
    <w:rPr>
      <w:sz w:val="24"/>
      <w:szCs w:val="24"/>
    </w:rPr>
  </w:style>
  <w:style w:type="character" w:customStyle="1" w:styleId="90">
    <w:name w:val="报告正文 Char Char"/>
    <w:link w:val="12"/>
    <w:uiPriority w:val="0"/>
    <w:rPr>
      <w:bCs/>
      <w:kern w:val="44"/>
      <w:sz w:val="24"/>
      <w:szCs w:val="44"/>
      <w:lang w:val="en-US" w:eastAsia="zh-CN" w:bidi="ar-SA"/>
    </w:rPr>
  </w:style>
  <w:style w:type="character" w:customStyle="1" w:styleId="91">
    <w:name w:val="文本正文 Char Char"/>
    <w:link w:val="49"/>
    <w:uiPriority w:val="0"/>
    <w:rPr>
      <w:rFonts w:cs="宋体"/>
      <w:kern w:val="2"/>
      <w:sz w:val="24"/>
    </w:rPr>
  </w:style>
  <w:style w:type="character" w:customStyle="1" w:styleId="92">
    <w:name w:val="font21"/>
    <w:uiPriority w:val="0"/>
    <w:rPr>
      <w:rFonts w:hint="eastAsia" w:ascii="宋体" w:hAnsi="宋体" w:eastAsia="宋体" w:cs="宋体"/>
      <w:color w:val="000000"/>
      <w:sz w:val="21"/>
      <w:szCs w:val="21"/>
      <w:u w:val="none"/>
      <w:vertAlign w:val="subscript"/>
    </w:rPr>
  </w:style>
  <w:style w:type="character" w:customStyle="1" w:styleId="93">
    <w:name w:val="标题 2 Char"/>
    <w:link w:val="3"/>
    <w:semiHidden/>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png"/><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5.bin"/><Relationship Id="rId17" Type="http://schemas.openxmlformats.org/officeDocument/2006/relationships/image" Target="media/image5.wmf"/><Relationship Id="rId16" Type="http://schemas.openxmlformats.org/officeDocument/2006/relationships/oleObject" Target="embeddings/oleObject4.bin"/><Relationship Id="rId15" Type="http://schemas.openxmlformats.org/officeDocument/2006/relationships/image" Target="media/image4.w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国家环保总局南京环科所</Company>
  <Pages>50</Pages>
  <Words>5399</Words>
  <Characters>30776</Characters>
  <Lines>256</Lines>
  <Paragraphs>72</Paragraphs>
  <ScaleCrop>false</ScaleCrop>
  <LinksUpToDate>false</LinksUpToDate>
  <CharactersWithSpaces>36103</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2012-08-16T09:36:00Z</dcterms:created>
  <dc:creator>weiwang</dc:creator>
  <cp:lastModifiedBy>cmw</cp:lastModifiedBy>
  <cp:lastPrinted>2015-11-19T05:22:00Z</cp:lastPrinted>
  <dcterms:modified xsi:type="dcterms:W3CDTF">2015-11-20T02:57:42Z</dcterms:modified>
  <dc:title>建设项目环境影响报告表</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2052-10.1.0.5346</vt:lpwstr>
  </property>
</Properties>
</file>