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spacing w:line="360" w:lineRule="auto"/>
        <w:jc w:val="center"/>
        <w:rPr>
          <w:rFonts w:ascii="Times New Roman" w:hAnsi="Times New Roman" w:cs="Times New Roman"/>
          <w:b/>
          <w:bCs/>
          <w:color w:val="auto"/>
          <w:sz w:val="56"/>
          <w:szCs w:val="56"/>
        </w:rPr>
      </w:pPr>
      <w:r>
        <w:rPr>
          <w:rFonts w:ascii="Times New Roman" w:hAnsi="Times New Roman" w:cs="Times New Roman"/>
          <w:b/>
          <w:bCs/>
          <w:color w:val="auto"/>
          <w:sz w:val="56"/>
          <w:szCs w:val="56"/>
        </w:rPr>
        <w:t>建设项目环境影响报告表</w:t>
      </w: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sz w:val="30"/>
          <w:szCs w:val="30"/>
        </w:rPr>
      </w:pPr>
    </w:p>
    <w:p>
      <w:pPr>
        <w:ind w:left="4200" w:hanging="4200" w:hangingChars="1400"/>
        <w:rPr>
          <w:rFonts w:ascii="Times New Roman" w:hAnsi="Times New Roman" w:cs="Times New Roman"/>
          <w:color w:val="FF0000"/>
          <w:sz w:val="30"/>
          <w:szCs w:val="30"/>
          <w:u w:val="single"/>
        </w:rPr>
      </w:pPr>
      <w:r>
        <w:rPr>
          <w:rFonts w:ascii="Times New Roman" w:hAnsi="Times New Roman" w:cs="Times New Roman"/>
          <w:color w:val="FF0000"/>
          <w:sz w:val="30"/>
          <w:szCs w:val="30"/>
        </w:rPr>
        <w:t>项  目  名  称：</w:t>
      </w:r>
      <w:r>
        <w:rPr>
          <w:rFonts w:hint="eastAsia" w:ascii="Times New Roman" w:hAnsi="Times New Roman" w:cs="Times New Roman"/>
          <w:color w:val="FF0000"/>
          <w:sz w:val="30"/>
          <w:szCs w:val="30"/>
          <w:u w:val="single"/>
        </w:rPr>
        <w:t>太湖湖西大堤宜兴双桥港至黄渎港保滩固堤</w:t>
      </w:r>
      <w:r>
        <w:rPr>
          <w:rFonts w:hint="eastAsia" w:ascii="Times New Roman" w:hAnsi="Times New Roman" w:cs="Times New Roman"/>
          <w:color w:val="FF0000"/>
          <w:sz w:val="30"/>
          <w:szCs w:val="30"/>
          <w:u w:val="single"/>
          <w:lang w:val="en-US" w:eastAsia="zh-CN"/>
        </w:rPr>
        <w:t xml:space="preserve">  </w:t>
      </w:r>
    </w:p>
    <w:p>
      <w:pPr>
        <w:rPr>
          <w:rFonts w:ascii="Times New Roman" w:hAnsi="Times New Roman" w:cs="Times New Roman"/>
          <w:color w:val="FF0000"/>
          <w:sz w:val="30"/>
          <w:u w:val="single"/>
        </w:rPr>
      </w:pPr>
      <w:r>
        <w:rPr>
          <w:rFonts w:hint="eastAsia" w:ascii="Times New Roman" w:hAnsi="Times New Roman" w:cs="Times New Roman"/>
          <w:color w:val="FF0000"/>
          <w:sz w:val="30"/>
          <w:szCs w:val="30"/>
        </w:rPr>
        <w:t xml:space="preserve">               </w:t>
      </w:r>
      <w:r>
        <w:rPr>
          <w:rFonts w:hint="eastAsia" w:ascii="Times New Roman" w:hAnsi="Times New Roman" w:cs="Times New Roman"/>
          <w:color w:val="FF0000"/>
          <w:sz w:val="30"/>
          <w:szCs w:val="30"/>
          <w:u w:val="single"/>
        </w:rPr>
        <w:t xml:space="preserve">         结合湖滨带生态修复工程      </w:t>
      </w:r>
      <w:r>
        <w:rPr>
          <w:rFonts w:ascii="Times New Roman" w:hAnsi="Times New Roman" w:cs="Times New Roman"/>
          <w:color w:val="FF0000"/>
          <w:sz w:val="30"/>
          <w:u w:val="single"/>
        </w:rPr>
        <w:t xml:space="preserve">    </w:t>
      </w:r>
    </w:p>
    <w:p>
      <w:pPr>
        <w:rPr>
          <w:rFonts w:ascii="Times New Roman" w:hAnsi="Times New Roman" w:cs="Times New Roman"/>
          <w:color w:val="FF0000"/>
          <w:sz w:val="30"/>
          <w:szCs w:val="30"/>
        </w:rPr>
      </w:pPr>
      <w:r>
        <w:rPr>
          <w:rFonts w:ascii="Times New Roman" w:hAnsi="Times New Roman" w:cs="Times New Roman"/>
          <w:color w:val="FF0000"/>
          <w:sz w:val="30"/>
          <w:szCs w:val="30"/>
        </w:rPr>
        <w:t>建 设 单 位（盖章）：</w:t>
      </w:r>
      <w:r>
        <w:rPr>
          <w:rFonts w:ascii="Times New Roman" w:hAnsi="Times New Roman" w:cs="Times New Roman"/>
          <w:color w:val="FF0000"/>
          <w:sz w:val="30"/>
          <w:szCs w:val="32"/>
          <w:u w:val="single"/>
        </w:rPr>
        <w:t xml:space="preserve">   </w:t>
      </w:r>
      <w:r>
        <w:rPr>
          <w:rFonts w:hint="eastAsia" w:ascii="Times New Roman" w:hAnsi="Times New Roman" w:cs="Times New Roman"/>
          <w:color w:val="FF0000"/>
          <w:sz w:val="30"/>
          <w:szCs w:val="32"/>
          <w:u w:val="single"/>
          <w:lang w:val="en-US" w:eastAsia="zh-CN"/>
        </w:rPr>
        <w:t xml:space="preserve"> </w:t>
      </w:r>
      <w:r>
        <w:rPr>
          <w:rFonts w:hint="eastAsia" w:ascii="Times New Roman" w:hAnsi="Times New Roman" w:cs="Times New Roman"/>
          <w:color w:val="FF0000"/>
          <w:sz w:val="30"/>
          <w:szCs w:val="30"/>
          <w:u w:val="single"/>
          <w:lang w:eastAsia="zh-CN"/>
        </w:rPr>
        <w:t>宜兴市水利工程建设管理中心</w:t>
      </w:r>
      <w:r>
        <w:rPr>
          <w:rFonts w:ascii="Times New Roman" w:hAnsi="Times New Roman" w:cs="Times New Roman"/>
          <w:color w:val="FF0000"/>
          <w:sz w:val="30"/>
          <w:szCs w:val="32"/>
          <w:u w:val="single"/>
        </w:rPr>
        <w:t xml:space="preserve">  </w:t>
      </w:r>
      <w:r>
        <w:rPr>
          <w:rFonts w:hint="eastAsia" w:ascii="Times New Roman" w:hAnsi="Times New Roman" w:cs="Times New Roman"/>
          <w:color w:val="FF0000"/>
          <w:sz w:val="30"/>
          <w:szCs w:val="32"/>
          <w:u w:val="single"/>
          <w:lang w:val="en-US" w:eastAsia="zh-CN"/>
        </w:rPr>
        <w:t xml:space="preserve"> </w:t>
      </w:r>
      <w:r>
        <w:rPr>
          <w:rFonts w:ascii="Times New Roman" w:hAnsi="Times New Roman" w:cs="Times New Roman"/>
          <w:color w:val="FF0000"/>
          <w:sz w:val="30"/>
          <w:szCs w:val="32"/>
          <w:u w:val="single"/>
        </w:rPr>
        <w:t xml:space="preserve">      </w:t>
      </w:r>
    </w:p>
    <w:p>
      <w:pPr>
        <w:rPr>
          <w:rFonts w:ascii="Times New Roman" w:hAnsi="Times New Roman" w:cs="Times New Roman"/>
          <w:color w:val="auto"/>
          <w:sz w:val="30"/>
          <w:szCs w:val="30"/>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jc w:val="center"/>
        <w:rPr>
          <w:rFonts w:ascii="Times New Roman" w:hAnsi="Times New Roman" w:cs="Times New Roman"/>
          <w:color w:val="FF0000"/>
          <w:sz w:val="28"/>
          <w:szCs w:val="28"/>
        </w:rPr>
      </w:pPr>
      <w:r>
        <w:rPr>
          <w:rFonts w:ascii="Times New Roman" w:hAnsi="Times New Roman" w:cs="Times New Roman"/>
          <w:color w:val="FF0000"/>
          <w:sz w:val="28"/>
          <w:szCs w:val="28"/>
        </w:rPr>
        <w:t>编制日期：201</w:t>
      </w:r>
      <w:r>
        <w:rPr>
          <w:rFonts w:hint="eastAsia" w:ascii="Times New Roman" w:hAnsi="Times New Roman" w:cs="Times New Roman"/>
          <w:color w:val="FF0000"/>
          <w:sz w:val="28"/>
          <w:szCs w:val="28"/>
          <w:lang w:val="en-US" w:eastAsia="zh-CN"/>
        </w:rPr>
        <w:t>8</w:t>
      </w:r>
      <w:r>
        <w:rPr>
          <w:rFonts w:ascii="Times New Roman" w:hAnsi="Times New Roman" w:cs="Times New Roman"/>
          <w:color w:val="FF0000"/>
          <w:sz w:val="28"/>
          <w:szCs w:val="28"/>
        </w:rPr>
        <w:t>年</w:t>
      </w:r>
      <w:r>
        <w:rPr>
          <w:rFonts w:hint="eastAsia" w:ascii="Times New Roman" w:hAnsi="Times New Roman" w:cs="Times New Roman"/>
          <w:color w:val="FF0000"/>
          <w:sz w:val="28"/>
          <w:szCs w:val="28"/>
          <w:lang w:val="en-US" w:eastAsia="zh-CN"/>
        </w:rPr>
        <w:t>1</w:t>
      </w:r>
      <w:r>
        <w:rPr>
          <w:rFonts w:ascii="Times New Roman" w:hAnsi="Times New Roman" w:cs="Times New Roman"/>
          <w:color w:val="FF0000"/>
          <w:sz w:val="28"/>
          <w:szCs w:val="28"/>
        </w:rPr>
        <w:t>月</w:t>
      </w:r>
    </w:p>
    <w:p>
      <w:pPr>
        <w:jc w:val="center"/>
        <w:rPr>
          <w:rFonts w:ascii="Times New Roman" w:hAnsi="Times New Roman" w:cs="Times New Roman"/>
          <w:color w:val="auto"/>
          <w:sz w:val="28"/>
          <w:szCs w:val="28"/>
        </w:rPr>
      </w:pPr>
      <w:r>
        <w:rPr>
          <w:rFonts w:ascii="Times New Roman" w:hAnsi="Times New Roman" w:cs="Times New Roman"/>
          <w:color w:val="auto"/>
          <w:sz w:val="28"/>
          <w:szCs w:val="28"/>
        </w:rPr>
        <w:t>江苏省环保厅制</w:t>
      </w:r>
    </w:p>
    <w:p>
      <w:pPr>
        <w:spacing w:line="360" w:lineRule="auto"/>
        <w:rPr>
          <w:rFonts w:ascii="Times New Roman" w:hAnsi="Times New Roman" w:cs="Times New Roman"/>
          <w:color w:val="auto"/>
          <w:sz w:val="30"/>
          <w:szCs w:val="30"/>
        </w:rPr>
      </w:pPr>
    </w:p>
    <w:p>
      <w:pPr>
        <w:rPr>
          <w:rFonts w:ascii="Times New Roman" w:hAnsi="Times New Roman" w:cs="Times New Roman"/>
          <w:color w:val="auto"/>
        </w:rPr>
      </w:pPr>
    </w:p>
    <w:p>
      <w:pPr>
        <w:spacing w:line="480" w:lineRule="auto"/>
        <w:jc w:val="center"/>
        <w:rPr>
          <w:rFonts w:ascii="Times New Roman" w:hAnsi="Times New Roman" w:cs="Times New Roman"/>
          <w:color w:val="auto"/>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480" w:lineRule="auto"/>
        <w:jc w:val="center"/>
        <w:rPr>
          <w:rFonts w:ascii="Times New Roman" w:hAnsi="Times New Roman" w:cs="Times New Roman"/>
          <w:color w:val="auto"/>
          <w:sz w:val="30"/>
          <w:szCs w:val="30"/>
        </w:rPr>
      </w:pPr>
    </w:p>
    <w:p>
      <w:pPr>
        <w:spacing w:line="480" w:lineRule="auto"/>
        <w:jc w:val="center"/>
        <w:rPr>
          <w:rFonts w:ascii="Times New Roman" w:hAnsi="Times New Roman" w:cs="Times New Roman"/>
          <w:color w:val="auto"/>
          <w:sz w:val="30"/>
          <w:szCs w:val="30"/>
        </w:rPr>
      </w:pPr>
      <w:r>
        <w:rPr>
          <w:rFonts w:ascii="Times New Roman" w:hAnsi="Times New Roman" w:cs="Times New Roman"/>
          <w:color w:val="auto"/>
          <w:sz w:val="30"/>
          <w:szCs w:val="30"/>
        </w:rPr>
        <w:t>《建设项目环境影响报告表》编制说明</w:t>
      </w:r>
    </w:p>
    <w:p>
      <w:pPr>
        <w:spacing w:line="480" w:lineRule="auto"/>
        <w:ind w:firstLine="460" w:firstLineChars="192"/>
        <w:rPr>
          <w:rFonts w:ascii="Times New Roman" w:hAnsi="Times New Roman" w:cs="Times New Roman"/>
          <w:color w:val="auto"/>
          <w:sz w:val="24"/>
        </w:rPr>
      </w:pPr>
    </w:p>
    <w:p>
      <w:pPr>
        <w:spacing w:line="480" w:lineRule="auto"/>
        <w:ind w:firstLine="460" w:firstLineChars="192"/>
        <w:rPr>
          <w:rFonts w:ascii="Times New Roman" w:hAnsi="Times New Roman" w:cs="Times New Roman"/>
          <w:color w:val="auto"/>
          <w:sz w:val="24"/>
        </w:rPr>
      </w:pPr>
      <w:r>
        <w:rPr>
          <w:rFonts w:ascii="Times New Roman" w:hAnsi="Times New Roman" w:cs="Times New Roman"/>
          <w:color w:val="auto"/>
          <w:sz w:val="24"/>
        </w:rPr>
        <w:t>《建设项目环境影响报告表》由具有从事环境影响评价工作资质的单位编制。</w:t>
      </w:r>
    </w:p>
    <w:p>
      <w:pPr>
        <w:spacing w:line="480" w:lineRule="auto"/>
        <w:ind w:firstLine="460" w:firstLineChars="192"/>
        <w:rPr>
          <w:rFonts w:ascii="Times New Roman" w:hAnsi="Times New Roman" w:cs="Times New Roman"/>
          <w:color w:val="auto"/>
          <w:sz w:val="24"/>
        </w:rPr>
      </w:pPr>
      <w:r>
        <w:rPr>
          <w:rFonts w:ascii="Times New Roman" w:hAnsi="Times New Roman" w:cs="Times New Roman"/>
          <w:color w:val="auto"/>
          <w:sz w:val="24"/>
        </w:rPr>
        <w:t>1.项目名称----指项目立项批复时的名称，应不超过30个字（两个英文字段</w:t>
      </w:r>
    </w:p>
    <w:p>
      <w:pPr>
        <w:spacing w:line="480" w:lineRule="auto"/>
        <w:rPr>
          <w:rFonts w:ascii="Times New Roman" w:hAnsi="Times New Roman" w:cs="Times New Roman"/>
          <w:color w:val="auto"/>
          <w:sz w:val="24"/>
        </w:rPr>
      </w:pPr>
      <w:r>
        <w:rPr>
          <w:rFonts w:ascii="Times New Roman" w:hAnsi="Times New Roman" w:cs="Times New Roman"/>
          <w:color w:val="auto"/>
          <w:sz w:val="24"/>
        </w:rPr>
        <w:t>作一个汉字）。</w:t>
      </w:r>
    </w:p>
    <w:p>
      <w:pPr>
        <w:spacing w:line="480" w:lineRule="auto"/>
        <w:rPr>
          <w:rFonts w:ascii="Times New Roman" w:hAnsi="Times New Roman" w:cs="Times New Roman"/>
          <w:color w:val="auto"/>
          <w:sz w:val="24"/>
        </w:rPr>
      </w:pPr>
      <w:r>
        <w:rPr>
          <w:rFonts w:ascii="Times New Roman" w:hAnsi="Times New Roman" w:cs="Times New Roman"/>
          <w:color w:val="auto"/>
          <w:sz w:val="24"/>
        </w:rPr>
        <w:t>2.建设地点----指项目所在地详细地址，公路、铁路应填写起止地点。</w:t>
      </w:r>
    </w:p>
    <w:p>
      <w:pPr>
        <w:spacing w:line="480" w:lineRule="auto"/>
        <w:ind w:firstLine="460" w:firstLineChars="192"/>
        <w:rPr>
          <w:rFonts w:ascii="Times New Roman" w:hAnsi="Times New Roman" w:cs="Times New Roman"/>
          <w:color w:val="auto"/>
          <w:sz w:val="24"/>
        </w:rPr>
      </w:pPr>
      <w:r>
        <w:rPr>
          <w:rFonts w:ascii="Times New Roman" w:hAnsi="Times New Roman" w:cs="Times New Roman"/>
          <w:color w:val="auto"/>
          <w:sz w:val="24"/>
        </w:rPr>
        <w:t>3.行业类别----按国标填写</w:t>
      </w:r>
    </w:p>
    <w:p>
      <w:pPr>
        <w:spacing w:line="480" w:lineRule="auto"/>
        <w:ind w:firstLine="460" w:firstLineChars="192"/>
        <w:rPr>
          <w:rFonts w:ascii="Times New Roman" w:hAnsi="Times New Roman" w:cs="Times New Roman"/>
          <w:color w:val="auto"/>
          <w:sz w:val="24"/>
        </w:rPr>
      </w:pPr>
      <w:r>
        <w:rPr>
          <w:rFonts w:ascii="Times New Roman" w:hAnsi="Times New Roman" w:cs="Times New Roman"/>
          <w:color w:val="auto"/>
          <w:sz w:val="24"/>
        </w:rPr>
        <w:t>4.总投资----指项目投资总额</w:t>
      </w:r>
    </w:p>
    <w:p>
      <w:pPr>
        <w:spacing w:line="480" w:lineRule="auto"/>
        <w:ind w:firstLine="460" w:firstLineChars="192"/>
        <w:rPr>
          <w:rFonts w:ascii="Times New Roman" w:hAnsi="Times New Roman" w:cs="Times New Roman"/>
          <w:color w:val="auto"/>
          <w:sz w:val="24"/>
        </w:rPr>
      </w:pPr>
      <w:r>
        <w:rPr>
          <w:rFonts w:ascii="Times New Roman" w:hAnsi="Times New Roman" w:cs="Times New Roman"/>
          <w:color w:val="auto"/>
          <w:sz w:val="24"/>
        </w:rPr>
        <w:t>5.主要环境保护目标----指项目区周围一定范围内集中居民住宅区、学校、医院、保护文物、风景名胜区、水源地和生态敏感点等，应尽可能给出保护目标、性质、规模和距厂界距离等。</w:t>
      </w:r>
    </w:p>
    <w:p>
      <w:pPr>
        <w:spacing w:line="480" w:lineRule="auto"/>
        <w:ind w:firstLine="460" w:firstLineChars="192"/>
        <w:rPr>
          <w:rFonts w:ascii="Times New Roman" w:hAnsi="Times New Roman" w:cs="Times New Roman"/>
          <w:color w:val="auto"/>
          <w:sz w:val="24"/>
        </w:rPr>
      </w:pPr>
      <w:r>
        <w:rPr>
          <w:rFonts w:ascii="Times New Roman" w:hAnsi="Times New Roman" w:cs="Times New Roman"/>
          <w:color w:val="auto"/>
          <w:sz w:val="24"/>
        </w:rPr>
        <w:t>6.结论与建议----给出本项目清洁生产、达标排放和总量控制的分析结论，确定污染防治措施的有效性，说明本项目对环境造成的影响，给出建设项目环境可行性的明确结论。同时提出减少环境影响的其他建议。</w:t>
      </w:r>
    </w:p>
    <w:p>
      <w:pPr>
        <w:spacing w:line="480" w:lineRule="auto"/>
        <w:ind w:firstLine="460" w:firstLineChars="192"/>
        <w:rPr>
          <w:rFonts w:ascii="Times New Roman" w:hAnsi="Times New Roman" w:cs="Times New Roman"/>
          <w:color w:val="auto"/>
          <w:sz w:val="24"/>
        </w:rPr>
      </w:pPr>
      <w:r>
        <w:rPr>
          <w:rFonts w:ascii="Times New Roman" w:hAnsi="Times New Roman" w:cs="Times New Roman"/>
          <w:color w:val="auto"/>
          <w:sz w:val="24"/>
        </w:rPr>
        <w:t>7.预审意见----由行业主管部门填写答复意见，无主管部门项目，可不填。</w:t>
      </w:r>
    </w:p>
    <w:p>
      <w:pPr>
        <w:spacing w:line="480" w:lineRule="auto"/>
        <w:ind w:firstLine="460" w:firstLineChars="192"/>
        <w:rPr>
          <w:rFonts w:ascii="Times New Roman" w:hAnsi="Times New Roman" w:cs="Times New Roman"/>
          <w:color w:val="auto"/>
          <w:sz w:val="24"/>
        </w:rPr>
      </w:pPr>
      <w:r>
        <w:rPr>
          <w:rFonts w:ascii="Times New Roman" w:hAnsi="Times New Roman" w:cs="Times New Roman"/>
          <w:color w:val="auto"/>
          <w:sz w:val="24"/>
        </w:rPr>
        <w:t>8.审批意见----由负责审批该项目的环境保护行政主管部门批复。</w:t>
      </w:r>
    </w:p>
    <w:p>
      <w:pPr>
        <w:spacing w:line="480" w:lineRule="auto"/>
        <w:rPr>
          <w:rFonts w:ascii="Times New Roman" w:hAnsi="Times New Roman" w:cs="Times New Roman"/>
          <w:color w:val="auto"/>
          <w:sz w:val="24"/>
        </w:rPr>
      </w:pPr>
    </w:p>
    <w:p>
      <w:pPr>
        <w:spacing w:line="480" w:lineRule="auto"/>
        <w:rPr>
          <w:rFonts w:ascii="Times New Roman" w:hAnsi="Times New Roman" w:cs="Times New Roman"/>
          <w:color w:val="auto"/>
          <w:sz w:val="24"/>
        </w:rPr>
      </w:pPr>
    </w:p>
    <w:p>
      <w:pPr>
        <w:spacing w:line="480" w:lineRule="auto"/>
        <w:rPr>
          <w:rFonts w:ascii="Times New Roman" w:hAnsi="Times New Roman" w:cs="Times New Roman"/>
          <w:color w:val="auto"/>
          <w:sz w:val="24"/>
        </w:rPr>
      </w:pPr>
    </w:p>
    <w:p>
      <w:pPr>
        <w:spacing w:line="480" w:lineRule="auto"/>
        <w:rPr>
          <w:rFonts w:ascii="Times New Roman" w:hAnsi="Times New Roman" w:cs="Times New Roman"/>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0"/>
        <w:adjustRightInd w:val="0"/>
        <w:snapToGrid w:val="0"/>
        <w:rPr>
          <w:rFonts w:ascii="Times New Roman" w:hAnsi="Times New Roman" w:cs="Times New Roman"/>
          <w:color w:val="auto"/>
        </w:rPr>
      </w:pPr>
      <w:r>
        <w:rPr>
          <w:rFonts w:ascii="Times New Roman" w:hAnsi="Times New Roman" w:cs="Times New Roman"/>
          <w:color w:val="auto"/>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-581025</wp:posOffset>
                </wp:positionV>
                <wp:extent cx="5419725" cy="466725"/>
                <wp:effectExtent l="0" t="0" r="9525" b="9525"/>
                <wp:wrapNone/>
                <wp:docPr id="1" name="矩形 2"/>
                <wp:cNvGraphicFramePr/>
                <a:graphic xmlns:a="http://schemas.openxmlformats.org/drawingml/2006/main">
                  <a:graphicData uri="http://schemas.microsoft.com/office/word/2010/wordprocessingShape">
                    <wps:wsp>
                      <wps:cNvSpPr/>
                      <wps:spPr>
                        <a:xfrm>
                          <a:off x="0" y="0"/>
                          <a:ext cx="5419725" cy="466725"/>
                        </a:xfrm>
                        <a:prstGeom prst="rect">
                          <a:avLst/>
                        </a:prstGeom>
                        <a:solidFill>
                          <a:srgbClr val="FFFFFF"/>
                        </a:solidFill>
                        <a:ln w="9525">
                          <a:noFill/>
                        </a:ln>
                      </wps:spPr>
                      <wps:bodyPr upright="1"/>
                    </wps:wsp>
                  </a:graphicData>
                </a:graphic>
              </wp:anchor>
            </w:drawing>
          </mc:Choice>
          <mc:Fallback>
            <w:pict>
              <v:rect id="矩形 2" o:spid="_x0000_s1026" o:spt="1" style="position:absolute;left:0pt;margin-left:-1.5pt;margin-top:-45.75pt;height:36.75pt;width:426.75pt;z-index:251660288;mso-width-relative:page;mso-height-relative:page;" fillcolor="#FFFFFF" filled="t" stroked="f" coordsize="21600,21600" o:gfxdata="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ogG7y9cAAAAKAQAADwAAAAAAAAABACAA&#10;AAAiAAAAZHJzL2Rvd25yZXYueG1sUEsBAhQAFAAAAAgAh07iQE2vxsmcAQAAGgMAAA4AAAAAAAAA&#10;AQAgAAAAJgEAAGRycy9lMm9Eb2MueG1sUEsFBgAAAAAGAAYAWQEAADQFAAAAAA==&#10;">
                <v:fill on="t" focussize="0,0"/>
                <v:stroke on="f"/>
                <v:imagedata o:title=""/>
                <o:lock v:ext="edit" aspectratio="f"/>
              </v:rect>
            </w:pict>
          </mc:Fallback>
        </mc:AlternateContent>
      </w:r>
      <w:r>
        <w:rPr>
          <w:rFonts w:hint="eastAsia" w:ascii="Times New Roman" w:hAnsi="Times New Roman" w:cs="Times New Roman"/>
          <w:color w:val="auto"/>
        </w:rPr>
        <w:t>一、</w:t>
      </w:r>
      <w:r>
        <w:rPr>
          <w:rFonts w:ascii="Times New Roman" w:hAnsi="Times New Roman" w:cs="Times New Roman"/>
          <w:color w:val="auto"/>
        </w:rPr>
        <w:t>建设项目基本情况</w:t>
      </w:r>
    </w:p>
    <w:tbl>
      <w:tblPr>
        <w:tblStyle w:val="16"/>
        <w:tblW w:w="8978" w:type="dxa"/>
        <w:jc w:val="center"/>
        <w:tblInd w:w="60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03"/>
        <w:gridCol w:w="597"/>
        <w:gridCol w:w="908"/>
        <w:gridCol w:w="796"/>
        <w:gridCol w:w="526"/>
        <w:gridCol w:w="248"/>
        <w:gridCol w:w="1713"/>
        <w:gridCol w:w="444"/>
        <w:gridCol w:w="803"/>
        <w:gridCol w:w="297"/>
        <w:gridCol w:w="144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203" w:type="dxa"/>
            <w:vAlign w:val="center"/>
          </w:tcPr>
          <w:p>
            <w:pPr>
              <w:jc w:val="center"/>
              <w:rPr>
                <w:rFonts w:ascii="Times New Roman" w:hAnsi="Times New Roman" w:cs="Times New Roman"/>
                <w:color w:val="FF0000"/>
                <w:sz w:val="24"/>
              </w:rPr>
            </w:pPr>
            <w:r>
              <w:rPr>
                <w:rFonts w:ascii="Times New Roman" w:hAnsi="Times New Roman" w:cs="Times New Roman"/>
                <w:color w:val="FF0000"/>
                <w:sz w:val="24"/>
              </w:rPr>
              <w:t>项目名称</w:t>
            </w:r>
          </w:p>
        </w:tc>
        <w:tc>
          <w:tcPr>
            <w:tcW w:w="7775" w:type="dxa"/>
            <w:gridSpan w:val="10"/>
            <w:vAlign w:val="center"/>
          </w:tcPr>
          <w:p>
            <w:pPr>
              <w:jc w:val="center"/>
              <w:rPr>
                <w:rFonts w:ascii="Times New Roman" w:hAnsi="Times New Roman" w:cs="Times New Roman"/>
                <w:color w:val="FF0000"/>
                <w:sz w:val="24"/>
              </w:rPr>
            </w:pPr>
            <w:r>
              <w:rPr>
                <w:rFonts w:ascii="Times New Roman" w:hAnsi="Times New Roman" w:cs="Times New Roman"/>
                <w:color w:val="FF0000"/>
                <w:sz w:val="24"/>
                <w:szCs w:val="24"/>
              </w:rPr>
              <w:t>太湖湖西大堤宜兴双桥港至黄渎港保滩固堤结合湖滨带生态修复工程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203" w:type="dxa"/>
            <w:vAlign w:val="center"/>
          </w:tcPr>
          <w:p>
            <w:pPr>
              <w:jc w:val="center"/>
              <w:rPr>
                <w:rFonts w:ascii="Times New Roman" w:hAnsi="Times New Roman" w:cs="Times New Roman"/>
                <w:color w:val="FF0000"/>
                <w:sz w:val="24"/>
              </w:rPr>
            </w:pPr>
            <w:r>
              <w:rPr>
                <w:rFonts w:ascii="Times New Roman" w:hAnsi="Times New Roman" w:cs="Times New Roman"/>
                <w:color w:val="FF0000"/>
                <w:sz w:val="24"/>
              </w:rPr>
              <w:t>建设单位</w:t>
            </w:r>
          </w:p>
        </w:tc>
        <w:tc>
          <w:tcPr>
            <w:tcW w:w="7775" w:type="dxa"/>
            <w:gridSpan w:val="10"/>
            <w:vAlign w:val="center"/>
          </w:tcPr>
          <w:p>
            <w:pPr>
              <w:jc w:val="center"/>
              <w:rPr>
                <w:rFonts w:hint="eastAsia" w:ascii="Times New Roman" w:hAnsi="Times New Roman" w:cs="Times New Roman" w:eastAsiaTheme="minorEastAsia"/>
                <w:color w:val="FF0000"/>
                <w:sz w:val="24"/>
                <w:lang w:eastAsia="zh-CN"/>
              </w:rPr>
            </w:pPr>
            <w:r>
              <w:rPr>
                <w:rFonts w:hint="eastAsia" w:ascii="Times New Roman" w:hAnsi="Times New Roman" w:cs="Times New Roman"/>
                <w:color w:val="FF0000"/>
                <w:sz w:val="24"/>
                <w:lang w:eastAsia="zh-CN"/>
              </w:rPr>
              <w:t>宜兴市水利工程建设管理中心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203" w:type="dxa"/>
            <w:shd w:val="clear" w:color="auto" w:fill="auto"/>
            <w:vAlign w:val="center"/>
          </w:tcPr>
          <w:p>
            <w:pPr>
              <w:jc w:val="center"/>
              <w:rPr>
                <w:rFonts w:ascii="Times New Roman" w:hAnsi="Times New Roman" w:cs="Times New Roman"/>
                <w:color w:val="FF0000"/>
                <w:sz w:val="24"/>
              </w:rPr>
            </w:pPr>
            <w:r>
              <w:rPr>
                <w:rFonts w:ascii="Times New Roman" w:hAnsi="Times New Roman" w:cs="Times New Roman"/>
                <w:color w:val="FF0000"/>
                <w:sz w:val="24"/>
              </w:rPr>
              <w:t>法人代表</w:t>
            </w:r>
          </w:p>
        </w:tc>
        <w:tc>
          <w:tcPr>
            <w:tcW w:w="3075" w:type="dxa"/>
            <w:gridSpan w:val="5"/>
            <w:shd w:val="clear" w:color="auto" w:fill="auto"/>
            <w:vAlign w:val="center"/>
          </w:tcPr>
          <w:p>
            <w:pPr>
              <w:jc w:val="center"/>
              <w:rPr>
                <w:rFonts w:hint="eastAsia" w:ascii="Times New Roman" w:hAnsi="Times New Roman" w:cs="Times New Roman" w:eastAsiaTheme="minorEastAsia"/>
                <w:color w:val="FF0000"/>
                <w:sz w:val="24"/>
                <w:lang w:eastAsia="zh-CN"/>
              </w:rPr>
            </w:pPr>
            <w:r>
              <w:rPr>
                <w:rFonts w:hint="eastAsia" w:ascii="Times New Roman" w:hAnsi="Times New Roman" w:cs="Times New Roman"/>
                <w:color w:val="FF0000"/>
                <w:sz w:val="24"/>
                <w:lang w:eastAsia="zh-CN"/>
              </w:rPr>
              <w:t>周凌辉</w:t>
            </w:r>
          </w:p>
        </w:tc>
        <w:tc>
          <w:tcPr>
            <w:tcW w:w="1713" w:type="dxa"/>
            <w:shd w:val="clear" w:color="auto" w:fill="auto"/>
            <w:vAlign w:val="center"/>
          </w:tcPr>
          <w:p>
            <w:pPr>
              <w:jc w:val="center"/>
              <w:rPr>
                <w:rFonts w:ascii="Times New Roman" w:hAnsi="Times New Roman" w:cs="Times New Roman"/>
                <w:color w:val="FF0000"/>
                <w:sz w:val="24"/>
              </w:rPr>
            </w:pPr>
            <w:r>
              <w:rPr>
                <w:rFonts w:ascii="Times New Roman" w:hAnsi="Times New Roman" w:cs="Times New Roman"/>
                <w:color w:val="FF0000"/>
                <w:sz w:val="24"/>
              </w:rPr>
              <w:t>联系人</w:t>
            </w:r>
          </w:p>
        </w:tc>
        <w:tc>
          <w:tcPr>
            <w:tcW w:w="2987" w:type="dxa"/>
            <w:gridSpan w:val="4"/>
            <w:shd w:val="clear" w:color="auto" w:fill="auto"/>
            <w:vAlign w:val="center"/>
          </w:tcPr>
          <w:p>
            <w:pPr>
              <w:jc w:val="center"/>
              <w:rPr>
                <w:rFonts w:hint="eastAsia" w:ascii="Times New Roman" w:hAnsi="Times New Roman" w:cs="Times New Roman" w:eastAsiaTheme="minorEastAsia"/>
                <w:color w:val="FF0000"/>
                <w:sz w:val="24"/>
                <w:lang w:eastAsia="zh-CN"/>
              </w:rPr>
            </w:pPr>
            <w:r>
              <w:rPr>
                <w:rFonts w:hint="eastAsia" w:ascii="Times New Roman" w:hAnsi="Times New Roman" w:cs="Times New Roman"/>
                <w:color w:val="FF0000"/>
                <w:sz w:val="24"/>
                <w:lang w:eastAsia="zh-CN"/>
              </w:rPr>
              <w:t>林大龙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203" w:type="dxa"/>
            <w:vAlign w:val="center"/>
          </w:tcPr>
          <w:p>
            <w:pPr>
              <w:jc w:val="center"/>
              <w:rPr>
                <w:rFonts w:ascii="Times New Roman" w:hAnsi="Times New Roman" w:cs="Times New Roman"/>
                <w:color w:val="FF0000"/>
                <w:sz w:val="24"/>
              </w:rPr>
            </w:pPr>
            <w:r>
              <w:rPr>
                <w:rFonts w:ascii="Times New Roman" w:hAnsi="Times New Roman" w:cs="Times New Roman"/>
                <w:color w:val="FF0000"/>
                <w:sz w:val="24"/>
              </w:rPr>
              <w:t>联系电话</w:t>
            </w:r>
          </w:p>
        </w:tc>
        <w:tc>
          <w:tcPr>
            <w:tcW w:w="2301" w:type="dxa"/>
            <w:gridSpan w:val="3"/>
            <w:vAlign w:val="center"/>
          </w:tcPr>
          <w:p>
            <w:pPr>
              <w:jc w:val="center"/>
              <w:rPr>
                <w:rFonts w:hint="eastAsia" w:ascii="Times New Roman" w:hAnsi="Times New Roman" w:cs="Times New Roman" w:eastAsiaTheme="minorEastAsia"/>
                <w:color w:val="FF0000"/>
                <w:sz w:val="24"/>
                <w:lang w:eastAsia="zh-CN"/>
              </w:rPr>
            </w:pPr>
            <w:r>
              <w:rPr>
                <w:rFonts w:hint="eastAsia" w:ascii="Times New Roman" w:hAnsi="Times New Roman" w:cs="Times New Roman"/>
                <w:color w:val="FF0000"/>
                <w:sz w:val="24"/>
                <w:lang w:val="en-US" w:eastAsia="zh-CN"/>
              </w:rPr>
              <w:t>18961501193</w:t>
            </w:r>
          </w:p>
        </w:tc>
        <w:tc>
          <w:tcPr>
            <w:tcW w:w="774" w:type="dxa"/>
            <w:gridSpan w:val="2"/>
            <w:vAlign w:val="center"/>
          </w:tcPr>
          <w:p>
            <w:pPr>
              <w:jc w:val="center"/>
              <w:rPr>
                <w:rFonts w:ascii="Times New Roman" w:hAnsi="Times New Roman" w:cs="Times New Roman"/>
                <w:color w:val="auto"/>
                <w:sz w:val="24"/>
              </w:rPr>
            </w:pPr>
            <w:r>
              <w:rPr>
                <w:rFonts w:ascii="Times New Roman" w:hAnsi="Times New Roman" w:cs="Times New Roman"/>
                <w:color w:val="auto"/>
                <w:sz w:val="24"/>
              </w:rPr>
              <w:t>传真</w:t>
            </w:r>
          </w:p>
        </w:tc>
        <w:tc>
          <w:tcPr>
            <w:tcW w:w="1713"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w:t>
            </w:r>
          </w:p>
        </w:tc>
        <w:tc>
          <w:tcPr>
            <w:tcW w:w="1247" w:type="dxa"/>
            <w:gridSpan w:val="2"/>
            <w:vAlign w:val="center"/>
          </w:tcPr>
          <w:p>
            <w:pPr>
              <w:jc w:val="center"/>
              <w:rPr>
                <w:rFonts w:ascii="Times New Roman" w:hAnsi="Times New Roman" w:cs="Times New Roman"/>
                <w:color w:val="auto"/>
                <w:sz w:val="24"/>
              </w:rPr>
            </w:pPr>
            <w:r>
              <w:rPr>
                <w:rFonts w:ascii="Times New Roman" w:hAnsi="Times New Roman" w:cs="Times New Roman"/>
                <w:color w:val="auto"/>
                <w:sz w:val="24"/>
              </w:rPr>
              <w:t>邮政编码</w:t>
            </w:r>
          </w:p>
        </w:tc>
        <w:tc>
          <w:tcPr>
            <w:tcW w:w="1740" w:type="dxa"/>
            <w:gridSpan w:val="2"/>
            <w:vAlign w:val="center"/>
          </w:tcPr>
          <w:p>
            <w:pPr>
              <w:jc w:val="center"/>
              <w:rPr>
                <w:rFonts w:ascii="Times New Roman" w:hAnsi="Times New Roman" w:cs="Times New Roman"/>
                <w:color w:val="auto"/>
                <w:sz w:val="24"/>
              </w:rPr>
            </w:pPr>
            <w:r>
              <w:rPr>
                <w:rFonts w:ascii="Times New Roman" w:hAnsi="Times New Roman" w:cs="Times New Roman"/>
                <w:color w:val="auto"/>
                <w:sz w:val="24"/>
              </w:rPr>
              <w:t>214200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203" w:type="dxa"/>
            <w:vAlign w:val="center"/>
          </w:tcPr>
          <w:p>
            <w:pPr>
              <w:jc w:val="center"/>
              <w:rPr>
                <w:rFonts w:ascii="Times New Roman" w:hAnsi="Times New Roman" w:cs="Times New Roman"/>
                <w:color w:val="FF0000"/>
                <w:sz w:val="24"/>
              </w:rPr>
            </w:pPr>
            <w:r>
              <w:rPr>
                <w:rFonts w:ascii="Times New Roman" w:hAnsi="Times New Roman" w:cs="Times New Roman"/>
                <w:color w:val="FF0000"/>
                <w:sz w:val="24"/>
              </w:rPr>
              <w:t>建设地点</w:t>
            </w:r>
          </w:p>
        </w:tc>
        <w:tc>
          <w:tcPr>
            <w:tcW w:w="7775" w:type="dxa"/>
            <w:gridSpan w:val="10"/>
            <w:vAlign w:val="center"/>
          </w:tcPr>
          <w:p>
            <w:pPr>
              <w:jc w:val="center"/>
              <w:rPr>
                <w:rFonts w:hint="eastAsia" w:ascii="Times New Roman" w:hAnsi="Times New Roman" w:cs="Times New Roman" w:eastAsiaTheme="minorEastAsia"/>
                <w:color w:val="FF0000"/>
                <w:sz w:val="24"/>
                <w:lang w:eastAsia="zh-CN"/>
              </w:rPr>
            </w:pPr>
            <w:r>
              <w:rPr>
                <w:rFonts w:hint="eastAsia" w:ascii="Times New Roman" w:hAnsi="Times New Roman" w:cs="Times New Roman"/>
                <w:color w:val="FF0000"/>
                <w:sz w:val="24"/>
                <w:lang w:eastAsia="zh-CN"/>
              </w:rPr>
              <w:t>宜兴市丁蜀镇双桥港至黄渎港间太湖水域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203" w:type="dxa"/>
            <w:vAlign w:val="center"/>
          </w:tcPr>
          <w:p>
            <w:pPr>
              <w:jc w:val="center"/>
              <w:rPr>
                <w:rFonts w:ascii="Times New Roman" w:hAnsi="Times New Roman" w:cs="Times New Roman"/>
                <w:color w:val="FF0000"/>
                <w:sz w:val="24"/>
              </w:rPr>
            </w:pPr>
            <w:r>
              <w:rPr>
                <w:rFonts w:ascii="Times New Roman" w:hAnsi="Times New Roman" w:cs="Times New Roman"/>
                <w:color w:val="FF0000"/>
                <w:sz w:val="24"/>
              </w:rPr>
              <w:t>立项审批部门</w:t>
            </w:r>
          </w:p>
        </w:tc>
        <w:tc>
          <w:tcPr>
            <w:tcW w:w="3075" w:type="dxa"/>
            <w:gridSpan w:val="5"/>
            <w:vAlign w:val="center"/>
          </w:tcPr>
          <w:p>
            <w:pPr>
              <w:jc w:val="center"/>
              <w:rPr>
                <w:rFonts w:hint="eastAsia" w:ascii="Times New Roman" w:hAnsi="Times New Roman" w:cs="Times New Roman" w:eastAsiaTheme="minorEastAsia"/>
                <w:color w:val="FF0000"/>
                <w:sz w:val="24"/>
                <w:lang w:eastAsia="zh-CN"/>
              </w:rPr>
            </w:pPr>
            <w:r>
              <w:rPr>
                <w:rFonts w:hint="eastAsia" w:ascii="Times New Roman" w:hAnsi="Times New Roman" w:cs="Times New Roman"/>
                <w:color w:val="FF0000"/>
                <w:sz w:val="24"/>
                <w:lang w:eastAsia="zh-CN"/>
              </w:rPr>
              <w:t>无锡宜兴市发改委</w:t>
            </w:r>
          </w:p>
        </w:tc>
        <w:tc>
          <w:tcPr>
            <w:tcW w:w="1713" w:type="dxa"/>
            <w:vAlign w:val="center"/>
          </w:tcPr>
          <w:p>
            <w:pPr>
              <w:jc w:val="center"/>
              <w:rPr>
                <w:rFonts w:ascii="Times New Roman" w:hAnsi="Times New Roman" w:cs="Times New Roman"/>
                <w:color w:val="FF0000"/>
                <w:sz w:val="24"/>
              </w:rPr>
            </w:pPr>
            <w:r>
              <w:rPr>
                <w:rFonts w:ascii="Times New Roman" w:hAnsi="Times New Roman" w:cs="Times New Roman"/>
                <w:color w:val="FF0000"/>
                <w:sz w:val="24"/>
              </w:rPr>
              <w:t>批准文号</w:t>
            </w:r>
          </w:p>
        </w:tc>
        <w:tc>
          <w:tcPr>
            <w:tcW w:w="2987" w:type="dxa"/>
            <w:gridSpan w:val="4"/>
            <w:vAlign w:val="center"/>
          </w:tcPr>
          <w:p>
            <w:pPr>
              <w:jc w:val="center"/>
              <w:rPr>
                <w:rFonts w:hint="eastAsia" w:ascii="Times New Roman" w:hAnsi="Times New Roman" w:cs="Times New Roman"/>
                <w:color w:val="FF0000"/>
                <w:spacing w:val="-12"/>
                <w:sz w:val="24"/>
                <w:lang w:val="en-US" w:eastAsia="zh-CN"/>
              </w:rPr>
            </w:pPr>
            <w:r>
              <w:rPr>
                <w:rFonts w:hint="eastAsia" w:ascii="Times New Roman" w:hAnsi="Times New Roman" w:cs="Times New Roman"/>
                <w:color w:val="FF0000"/>
                <w:spacing w:val="-12"/>
                <w:sz w:val="24"/>
                <w:lang w:eastAsia="zh-CN"/>
              </w:rPr>
              <w:t>宜发改投资许</w:t>
            </w:r>
            <w:r>
              <w:rPr>
                <w:rFonts w:hint="eastAsia" w:ascii="Times New Roman" w:hAnsi="Times New Roman" w:cs="Times New Roman"/>
                <w:color w:val="FF0000"/>
                <w:spacing w:val="-12"/>
                <w:sz w:val="24"/>
                <w:lang w:val="en-US" w:eastAsia="zh-CN"/>
              </w:rPr>
              <w:t>[2018]5号</w:t>
            </w:r>
          </w:p>
          <w:p>
            <w:pPr>
              <w:jc w:val="center"/>
              <w:rPr>
                <w:rFonts w:ascii="Times New Roman" w:hAnsi="Times New Roman" w:cs="Times New Roman"/>
                <w:color w:val="FF0000"/>
                <w:spacing w:val="-12"/>
                <w:sz w:val="24"/>
              </w:rPr>
            </w:pPr>
            <w:r>
              <w:rPr>
                <w:rFonts w:hint="eastAsia" w:ascii="Times New Roman" w:hAnsi="Times New Roman" w:cs="Times New Roman"/>
                <w:color w:val="FF0000"/>
                <w:spacing w:val="-12"/>
                <w:sz w:val="24"/>
              </w:rPr>
              <w:t>项目代码：</w:t>
            </w:r>
            <w:r>
              <w:rPr>
                <w:rFonts w:hint="eastAsia" w:ascii="Times New Roman" w:hAnsi="Times New Roman" w:cs="Times New Roman"/>
                <w:color w:val="FF0000"/>
                <w:spacing w:val="-12"/>
                <w:sz w:val="24"/>
                <w:lang w:val="en-US" w:eastAsia="zh-CN"/>
              </w:rPr>
              <w:t>2018-320282-77-01-500099</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203"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建设性质</w:t>
            </w:r>
          </w:p>
        </w:tc>
        <w:tc>
          <w:tcPr>
            <w:tcW w:w="3075" w:type="dxa"/>
            <w:gridSpan w:val="5"/>
            <w:vAlign w:val="center"/>
          </w:tcPr>
          <w:p>
            <w:pPr>
              <w:jc w:val="center"/>
              <w:rPr>
                <w:rFonts w:ascii="Times New Roman" w:hAnsi="Times New Roman" w:cs="Times New Roman"/>
                <w:color w:val="auto"/>
                <w:sz w:val="24"/>
              </w:rPr>
            </w:pPr>
            <w:r>
              <w:rPr>
                <w:rFonts w:ascii="Times New Roman" w:hAnsi="Times New Roman" w:cs="Times New Roman"/>
                <w:color w:val="auto"/>
                <w:sz w:val="24"/>
              </w:rPr>
              <w:t>新建</w:t>
            </w:r>
          </w:p>
        </w:tc>
        <w:tc>
          <w:tcPr>
            <w:tcW w:w="1713"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行业类别及代码</w:t>
            </w:r>
          </w:p>
        </w:tc>
        <w:tc>
          <w:tcPr>
            <w:tcW w:w="2987" w:type="dxa"/>
            <w:gridSpan w:val="4"/>
            <w:vAlign w:val="center"/>
          </w:tcPr>
          <w:p>
            <w:pPr>
              <w:jc w:val="center"/>
              <w:rPr>
                <w:rFonts w:ascii="Times New Roman" w:hAnsi="Times New Roman" w:cs="Times New Roman"/>
                <w:color w:val="auto"/>
                <w:sz w:val="24"/>
              </w:rPr>
            </w:pPr>
            <w:r>
              <w:rPr>
                <w:rFonts w:hint="eastAsia" w:ascii="Times New Roman" w:hAnsi="Times New Roman" w:cs="Times New Roman"/>
                <w:color w:val="auto"/>
                <w:spacing w:val="-12"/>
                <w:sz w:val="24"/>
              </w:rPr>
              <w:t>[N7729]其他污染治理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203" w:type="dxa"/>
            <w:shd w:val="clear" w:color="auto" w:fill="auto"/>
            <w:vAlign w:val="center"/>
          </w:tcPr>
          <w:p>
            <w:pPr>
              <w:jc w:val="center"/>
              <w:rPr>
                <w:rFonts w:ascii="Times New Roman" w:hAnsi="Times New Roman" w:cs="Times New Roman"/>
                <w:color w:val="auto"/>
                <w:sz w:val="24"/>
              </w:rPr>
            </w:pPr>
            <w:r>
              <w:rPr>
                <w:rFonts w:ascii="Times New Roman" w:hAnsi="Times New Roman" w:cs="Times New Roman"/>
                <w:color w:val="auto"/>
                <w:sz w:val="24"/>
              </w:rPr>
              <w:t>占地面积（m</w:t>
            </w:r>
            <w:r>
              <w:rPr>
                <w:rFonts w:ascii="Times New Roman" w:hAnsi="Times New Roman" w:cs="Times New Roman"/>
                <w:color w:val="auto"/>
                <w:sz w:val="24"/>
                <w:vertAlign w:val="superscript"/>
              </w:rPr>
              <w:t>2</w:t>
            </w:r>
            <w:r>
              <w:rPr>
                <w:rFonts w:ascii="Times New Roman" w:hAnsi="Times New Roman" w:cs="Times New Roman"/>
                <w:color w:val="auto"/>
                <w:sz w:val="24"/>
              </w:rPr>
              <w:t>）</w:t>
            </w:r>
          </w:p>
        </w:tc>
        <w:tc>
          <w:tcPr>
            <w:tcW w:w="3075" w:type="dxa"/>
            <w:gridSpan w:val="5"/>
            <w:shd w:val="clear" w:color="auto" w:fill="auto"/>
            <w:vAlign w:val="center"/>
          </w:tcPr>
          <w:p>
            <w:pPr>
              <w:jc w:val="center"/>
              <w:rPr>
                <w:rFonts w:ascii="Times New Roman" w:hAnsi="Times New Roman" w:cs="Times New Roman"/>
                <w:color w:val="auto"/>
                <w:sz w:val="24"/>
              </w:rPr>
            </w:pPr>
            <w:r>
              <w:rPr>
                <w:rFonts w:hint="eastAsia" w:ascii="Times New Roman" w:hAnsi="Times New Roman" w:cs="Times New Roman"/>
                <w:color w:val="auto"/>
                <w:sz w:val="24"/>
              </w:rPr>
              <w:t>/</w:t>
            </w:r>
          </w:p>
        </w:tc>
        <w:tc>
          <w:tcPr>
            <w:tcW w:w="1713" w:type="dxa"/>
            <w:shd w:val="clear" w:color="auto" w:fill="auto"/>
            <w:vAlign w:val="center"/>
          </w:tcPr>
          <w:p>
            <w:pPr>
              <w:jc w:val="center"/>
              <w:rPr>
                <w:rFonts w:ascii="Times New Roman" w:hAnsi="Times New Roman" w:cs="Times New Roman"/>
                <w:color w:val="auto"/>
                <w:sz w:val="24"/>
              </w:rPr>
            </w:pPr>
            <w:r>
              <w:rPr>
                <w:rFonts w:ascii="Times New Roman" w:hAnsi="Times New Roman" w:cs="Times New Roman"/>
                <w:color w:val="auto"/>
                <w:sz w:val="24"/>
              </w:rPr>
              <w:t>绿化面积（m</w:t>
            </w:r>
            <w:r>
              <w:rPr>
                <w:rFonts w:ascii="Times New Roman" w:hAnsi="Times New Roman" w:cs="Times New Roman"/>
                <w:color w:val="auto"/>
                <w:sz w:val="24"/>
                <w:vertAlign w:val="superscript"/>
              </w:rPr>
              <w:t>2</w:t>
            </w:r>
            <w:r>
              <w:rPr>
                <w:rFonts w:ascii="Times New Roman" w:hAnsi="Times New Roman" w:cs="Times New Roman"/>
                <w:color w:val="auto"/>
                <w:sz w:val="24"/>
              </w:rPr>
              <w:t>）</w:t>
            </w:r>
          </w:p>
        </w:tc>
        <w:tc>
          <w:tcPr>
            <w:tcW w:w="2987" w:type="dxa"/>
            <w:gridSpan w:val="4"/>
            <w:shd w:val="clear" w:color="auto" w:fill="auto"/>
            <w:vAlign w:val="center"/>
          </w:tcPr>
          <w:p>
            <w:pPr>
              <w:jc w:val="center"/>
              <w:rPr>
                <w:rFonts w:ascii="Times New Roman" w:hAnsi="Times New Roman" w:cs="Times New Roman"/>
                <w:color w:val="auto"/>
                <w:sz w:val="24"/>
              </w:rPr>
            </w:pPr>
            <w:r>
              <w:rPr>
                <w:rFonts w:hint="eastAsia" w:ascii="Times New Roman" w:hAnsi="Times New Roman" w:cs="Times New Roman"/>
                <w:color w:val="auto"/>
                <w:sz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203" w:type="dxa"/>
            <w:vAlign w:val="center"/>
          </w:tcPr>
          <w:p>
            <w:pPr>
              <w:jc w:val="center"/>
              <w:rPr>
                <w:rFonts w:ascii="Times New Roman" w:hAnsi="Times New Roman" w:cs="Times New Roman"/>
                <w:color w:val="FF0000"/>
                <w:sz w:val="24"/>
              </w:rPr>
            </w:pPr>
            <w:r>
              <w:rPr>
                <w:rFonts w:ascii="Times New Roman" w:hAnsi="Times New Roman" w:cs="Times New Roman"/>
                <w:color w:val="FF0000"/>
                <w:sz w:val="24"/>
              </w:rPr>
              <w:t>总投资</w:t>
            </w:r>
            <w:r>
              <w:rPr>
                <w:rFonts w:hint="eastAsia" w:ascii="Times New Roman" w:hAnsi="Times New Roman" w:cs="Times New Roman"/>
                <w:color w:val="FF0000"/>
                <w:sz w:val="24"/>
              </w:rPr>
              <w:t>（万元）</w:t>
            </w:r>
          </w:p>
        </w:tc>
        <w:tc>
          <w:tcPr>
            <w:tcW w:w="1505" w:type="dxa"/>
            <w:gridSpan w:val="2"/>
            <w:vAlign w:val="center"/>
          </w:tcPr>
          <w:p>
            <w:pPr>
              <w:jc w:val="center"/>
              <w:rPr>
                <w:rFonts w:hint="eastAsia" w:ascii="Times New Roman" w:hAnsi="Times New Roman" w:cs="Times New Roman" w:eastAsiaTheme="minorEastAsia"/>
                <w:color w:val="FF0000"/>
                <w:sz w:val="24"/>
                <w:lang w:eastAsia="zh-CN"/>
              </w:rPr>
            </w:pPr>
            <w:r>
              <w:rPr>
                <w:rFonts w:hint="eastAsia" w:ascii="Times New Roman" w:hAnsi="Times New Roman" w:cs="Times New Roman"/>
                <w:color w:val="FF0000"/>
                <w:sz w:val="24"/>
                <w:lang w:val="en-US" w:eastAsia="zh-CN"/>
              </w:rPr>
              <w:t>6200</w:t>
            </w:r>
          </w:p>
        </w:tc>
        <w:tc>
          <w:tcPr>
            <w:tcW w:w="1570" w:type="dxa"/>
            <w:gridSpan w:val="3"/>
            <w:vAlign w:val="center"/>
          </w:tcPr>
          <w:p>
            <w:pPr>
              <w:jc w:val="center"/>
              <w:rPr>
                <w:rFonts w:ascii="Times New Roman" w:hAnsi="Times New Roman" w:cs="Times New Roman"/>
                <w:color w:val="FF0000"/>
                <w:sz w:val="24"/>
              </w:rPr>
            </w:pPr>
            <w:r>
              <w:rPr>
                <w:rFonts w:ascii="Times New Roman" w:hAnsi="Times New Roman" w:cs="Times New Roman"/>
                <w:color w:val="FF0000"/>
                <w:sz w:val="24"/>
              </w:rPr>
              <w:t>环保投资</w:t>
            </w:r>
          </w:p>
          <w:p>
            <w:pPr>
              <w:jc w:val="center"/>
              <w:rPr>
                <w:rFonts w:ascii="Times New Roman" w:hAnsi="Times New Roman" w:cs="Times New Roman"/>
                <w:color w:val="FF0000"/>
                <w:sz w:val="24"/>
              </w:rPr>
            </w:pPr>
            <w:r>
              <w:rPr>
                <w:rFonts w:hint="eastAsia" w:ascii="Times New Roman" w:hAnsi="Times New Roman" w:cs="Times New Roman"/>
                <w:color w:val="FF0000"/>
                <w:sz w:val="24"/>
              </w:rPr>
              <w:t>（万元）</w:t>
            </w:r>
          </w:p>
        </w:tc>
        <w:tc>
          <w:tcPr>
            <w:tcW w:w="1713" w:type="dxa"/>
            <w:vAlign w:val="center"/>
          </w:tcPr>
          <w:p>
            <w:pPr>
              <w:jc w:val="center"/>
              <w:rPr>
                <w:rFonts w:hint="eastAsia" w:ascii="Times New Roman" w:hAnsi="Times New Roman" w:cs="Times New Roman" w:eastAsiaTheme="minorEastAsia"/>
                <w:color w:val="FF0000"/>
                <w:sz w:val="24"/>
                <w:lang w:eastAsia="zh-CN"/>
              </w:rPr>
            </w:pPr>
            <w:r>
              <w:rPr>
                <w:rFonts w:hint="eastAsia" w:ascii="Times New Roman" w:hAnsi="Times New Roman" w:cs="Times New Roman"/>
                <w:color w:val="FF0000"/>
                <w:sz w:val="24"/>
                <w:lang w:val="en-US" w:eastAsia="zh-CN"/>
              </w:rPr>
              <w:t>6200</w:t>
            </w:r>
          </w:p>
        </w:tc>
        <w:tc>
          <w:tcPr>
            <w:tcW w:w="1544" w:type="dxa"/>
            <w:gridSpan w:val="3"/>
            <w:vAlign w:val="center"/>
          </w:tcPr>
          <w:p>
            <w:pPr>
              <w:jc w:val="center"/>
              <w:rPr>
                <w:rFonts w:ascii="Times New Roman" w:hAnsi="Times New Roman" w:cs="Times New Roman"/>
                <w:color w:val="FF0000"/>
                <w:sz w:val="24"/>
              </w:rPr>
            </w:pPr>
            <w:r>
              <w:rPr>
                <w:rFonts w:ascii="Times New Roman" w:hAnsi="Times New Roman" w:cs="Times New Roman"/>
                <w:color w:val="FF0000"/>
                <w:sz w:val="24"/>
              </w:rPr>
              <w:t>环保投资占总投资比例</w:t>
            </w:r>
          </w:p>
        </w:tc>
        <w:tc>
          <w:tcPr>
            <w:tcW w:w="1443" w:type="dxa"/>
            <w:vAlign w:val="center"/>
          </w:tcPr>
          <w:p>
            <w:pPr>
              <w:jc w:val="center"/>
              <w:rPr>
                <w:rFonts w:hint="eastAsia" w:ascii="Times New Roman" w:hAnsi="Times New Roman" w:cs="Times New Roman" w:eastAsiaTheme="minorEastAsia"/>
                <w:color w:val="FF0000"/>
                <w:sz w:val="24"/>
                <w:lang w:eastAsia="zh-CN"/>
              </w:rPr>
            </w:pPr>
            <w:r>
              <w:rPr>
                <w:rFonts w:hint="eastAsia" w:ascii="Times New Roman" w:hAnsi="Times New Roman" w:cs="Times New Roman"/>
                <w:color w:val="FF0000"/>
                <w:sz w:val="24"/>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203" w:type="dxa"/>
            <w:shd w:val="clear" w:color="auto" w:fill="auto"/>
            <w:vAlign w:val="center"/>
          </w:tcPr>
          <w:p>
            <w:pPr>
              <w:jc w:val="center"/>
              <w:rPr>
                <w:rFonts w:ascii="Times New Roman" w:hAnsi="Times New Roman" w:cs="Times New Roman"/>
                <w:color w:val="auto"/>
                <w:sz w:val="24"/>
              </w:rPr>
            </w:pPr>
            <w:r>
              <w:rPr>
                <w:rFonts w:hint="eastAsia" w:ascii="Times New Roman" w:hAnsi="Times New Roman" w:cs="Times New Roman"/>
                <w:color w:val="auto"/>
                <w:sz w:val="24"/>
              </w:rPr>
              <w:t>评价经费</w:t>
            </w:r>
          </w:p>
          <w:p>
            <w:pPr>
              <w:jc w:val="center"/>
              <w:rPr>
                <w:rFonts w:ascii="Times New Roman" w:hAnsi="Times New Roman" w:cs="Times New Roman"/>
                <w:color w:val="auto"/>
                <w:sz w:val="24"/>
              </w:rPr>
            </w:pPr>
            <w:r>
              <w:rPr>
                <w:rFonts w:hint="eastAsia" w:ascii="Times New Roman" w:hAnsi="Times New Roman" w:cs="Times New Roman"/>
                <w:color w:val="auto"/>
                <w:sz w:val="24"/>
              </w:rPr>
              <w:t>（万元）</w:t>
            </w:r>
          </w:p>
        </w:tc>
        <w:tc>
          <w:tcPr>
            <w:tcW w:w="3075" w:type="dxa"/>
            <w:gridSpan w:val="5"/>
            <w:shd w:val="clear" w:color="auto" w:fill="auto"/>
            <w:vAlign w:val="center"/>
          </w:tcPr>
          <w:p>
            <w:pPr>
              <w:jc w:val="center"/>
              <w:rPr>
                <w:rFonts w:ascii="Times New Roman" w:hAnsi="Times New Roman" w:cs="Times New Roman"/>
                <w:color w:val="auto"/>
                <w:sz w:val="24"/>
              </w:rPr>
            </w:pPr>
            <w:r>
              <w:rPr>
                <w:rFonts w:hint="eastAsia" w:ascii="Times New Roman" w:hAnsi="Times New Roman" w:cs="Times New Roman"/>
                <w:color w:val="auto"/>
                <w:sz w:val="24"/>
              </w:rPr>
              <w:t>/</w:t>
            </w:r>
          </w:p>
        </w:tc>
        <w:tc>
          <w:tcPr>
            <w:tcW w:w="1713" w:type="dxa"/>
            <w:shd w:val="clear" w:color="auto" w:fill="auto"/>
            <w:vAlign w:val="center"/>
          </w:tcPr>
          <w:p>
            <w:pPr>
              <w:jc w:val="center"/>
              <w:rPr>
                <w:rFonts w:ascii="Times New Roman" w:hAnsi="Times New Roman" w:cs="Times New Roman"/>
                <w:color w:val="auto"/>
                <w:sz w:val="24"/>
              </w:rPr>
            </w:pPr>
            <w:r>
              <w:rPr>
                <w:rFonts w:ascii="Times New Roman" w:hAnsi="Times New Roman" w:cs="Times New Roman"/>
                <w:color w:val="auto"/>
                <w:sz w:val="24"/>
              </w:rPr>
              <w:t>预期投产</w:t>
            </w:r>
          </w:p>
          <w:p>
            <w:pPr>
              <w:jc w:val="center"/>
              <w:rPr>
                <w:rFonts w:ascii="Times New Roman" w:hAnsi="Times New Roman" w:cs="Times New Roman"/>
                <w:color w:val="auto"/>
                <w:sz w:val="24"/>
              </w:rPr>
            </w:pPr>
            <w:r>
              <w:rPr>
                <w:rFonts w:ascii="Times New Roman" w:hAnsi="Times New Roman" w:cs="Times New Roman"/>
                <w:color w:val="auto"/>
                <w:sz w:val="24"/>
              </w:rPr>
              <w:t>日期</w:t>
            </w:r>
          </w:p>
        </w:tc>
        <w:tc>
          <w:tcPr>
            <w:tcW w:w="2987" w:type="dxa"/>
            <w:gridSpan w:val="4"/>
            <w:shd w:val="clear" w:color="auto" w:fill="auto"/>
            <w:vAlign w:val="center"/>
          </w:tcPr>
          <w:p>
            <w:pPr>
              <w:jc w:val="center"/>
              <w:rPr>
                <w:rFonts w:ascii="Times New Roman" w:hAnsi="Times New Roman" w:cs="Times New Roman"/>
                <w:color w:val="auto"/>
                <w:sz w:val="24"/>
              </w:rPr>
            </w:pPr>
            <w:r>
              <w:rPr>
                <w:rFonts w:ascii="Times New Roman" w:hAnsi="Times New Roman" w:cs="Times New Roman"/>
                <w:color w:val="auto"/>
                <w:sz w:val="24"/>
              </w:rPr>
              <w:t>20</w:t>
            </w:r>
            <w:r>
              <w:rPr>
                <w:rFonts w:hint="eastAsia" w:ascii="Times New Roman" w:hAnsi="Times New Roman" w:cs="Times New Roman"/>
                <w:color w:val="auto"/>
                <w:sz w:val="24"/>
              </w:rPr>
              <w:t>19</w:t>
            </w:r>
            <w:r>
              <w:rPr>
                <w:rFonts w:ascii="Times New Roman" w:hAnsi="Times New Roman" w:cs="Times New Roman"/>
                <w:color w:val="auto"/>
                <w:sz w:val="24"/>
              </w:rPr>
              <w:t>年</w:t>
            </w:r>
            <w:r>
              <w:rPr>
                <w:rFonts w:hint="eastAsia" w:ascii="Times New Roman" w:hAnsi="Times New Roman" w:cs="Times New Roman"/>
                <w:color w:val="auto"/>
                <w:sz w:val="24"/>
              </w:rPr>
              <w:t>4</w:t>
            </w:r>
            <w:r>
              <w:rPr>
                <w:rFonts w:ascii="Times New Roman" w:hAnsi="Times New Roman" w:cs="Times New Roman"/>
                <w:color w:val="auto"/>
                <w:sz w:val="24"/>
              </w:rPr>
              <w:t>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8978" w:type="dxa"/>
            <w:gridSpan w:val="11"/>
          </w:tcPr>
          <w:p>
            <w:pPr>
              <w:spacing w:line="360" w:lineRule="auto"/>
              <w:rPr>
                <w:rFonts w:ascii="Times New Roman" w:hAnsi="Times New Roman" w:cs="Times New Roman"/>
                <w:b/>
                <w:color w:val="auto"/>
                <w:sz w:val="24"/>
              </w:rPr>
            </w:pPr>
            <w:r>
              <w:rPr>
                <w:rFonts w:ascii="Times New Roman" w:hAnsi="Times New Roman" w:cs="Times New Roman"/>
                <w:b/>
                <w:color w:val="auto"/>
                <w:sz w:val="24"/>
              </w:rPr>
              <w:t>原辅材料（包括名称、用量）及主要设施规格、数量（包括锅炉、发电机等）：</w:t>
            </w:r>
          </w:p>
          <w:p>
            <w:pPr>
              <w:numPr>
                <w:ilvl w:val="0"/>
                <w:numId w:val="1"/>
              </w:numPr>
              <w:spacing w:line="360" w:lineRule="auto"/>
              <w:rPr>
                <w:rFonts w:ascii="Times New Roman" w:hAnsi="Times New Roman" w:cs="Times New Roman"/>
                <w:color w:val="auto"/>
                <w:sz w:val="24"/>
              </w:rPr>
            </w:pPr>
            <w:r>
              <w:rPr>
                <w:rFonts w:hint="eastAsia" w:ascii="Times New Roman" w:hAnsi="Times New Roman" w:cs="Times New Roman"/>
                <w:color w:val="auto"/>
                <w:sz w:val="24"/>
              </w:rPr>
              <w:t>原辅材料：</w:t>
            </w:r>
          </w:p>
          <w:p>
            <w:pPr>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rPr>
              <w:t>施工主要的原料为石料、黄沙、钢材、</w:t>
            </w:r>
            <w:r>
              <w:rPr>
                <w:rFonts w:hint="eastAsia" w:ascii="Times New Roman" w:hAnsi="Times New Roman" w:cs="Times New Roman"/>
                <w:color w:val="auto"/>
                <w:sz w:val="24"/>
                <w:lang w:eastAsia="zh-CN"/>
              </w:rPr>
              <w:t>木材</w:t>
            </w:r>
            <w:r>
              <w:rPr>
                <w:rFonts w:hint="eastAsia" w:ascii="Times New Roman" w:hAnsi="Times New Roman" w:cs="Times New Roman"/>
                <w:color w:val="auto"/>
                <w:sz w:val="24"/>
              </w:rPr>
              <w:t>、绿化树木、花草等。</w:t>
            </w:r>
          </w:p>
          <w:p>
            <w:pPr>
              <w:numPr>
                <w:ilvl w:val="0"/>
                <w:numId w:val="1"/>
              </w:numPr>
              <w:spacing w:line="360" w:lineRule="auto"/>
              <w:rPr>
                <w:rFonts w:ascii="Times New Roman" w:hAnsi="Times New Roman" w:cs="Times New Roman"/>
                <w:color w:val="auto"/>
                <w:sz w:val="24"/>
              </w:rPr>
            </w:pPr>
            <w:r>
              <w:rPr>
                <w:rFonts w:hint="eastAsia" w:ascii="Times New Roman" w:hAnsi="Times New Roman" w:cs="Times New Roman"/>
                <w:color w:val="auto"/>
                <w:sz w:val="24"/>
              </w:rPr>
              <w:t>主要设施：</w:t>
            </w:r>
          </w:p>
          <w:p>
            <w:pPr>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rPr>
              <w:t>施工期的各类施工机械，挖掘机、推土机、装载机、自卸汽车、挖泥船车水上施工和泥浆泵等。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8978" w:type="dxa"/>
            <w:gridSpan w:val="11"/>
            <w:vAlign w:val="center"/>
          </w:tcPr>
          <w:p>
            <w:pPr>
              <w:rPr>
                <w:rFonts w:ascii="Times New Roman" w:hAnsi="Times New Roman" w:cs="Times New Roman"/>
                <w:b/>
                <w:color w:val="auto"/>
                <w:sz w:val="24"/>
              </w:rPr>
            </w:pPr>
            <w:r>
              <w:rPr>
                <w:rFonts w:ascii="Times New Roman" w:hAnsi="Times New Roman" w:cs="Times New Roman"/>
                <w:b/>
                <w:color w:val="auto"/>
                <w:sz w:val="24"/>
              </w:rPr>
              <w:t>水及能源消耗量：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800" w:type="dxa"/>
            <w:gridSpan w:val="2"/>
            <w:vAlign w:val="center"/>
          </w:tcPr>
          <w:p>
            <w:pPr>
              <w:jc w:val="center"/>
              <w:rPr>
                <w:rFonts w:ascii="Times New Roman" w:hAnsi="Times New Roman" w:cs="Times New Roman"/>
                <w:color w:val="auto"/>
                <w:sz w:val="24"/>
              </w:rPr>
            </w:pPr>
            <w:r>
              <w:rPr>
                <w:rFonts w:ascii="Times New Roman" w:hAnsi="Times New Roman" w:cs="Times New Roman"/>
                <w:color w:val="auto"/>
                <w:sz w:val="24"/>
              </w:rPr>
              <w:t>名称</w:t>
            </w:r>
          </w:p>
        </w:tc>
        <w:tc>
          <w:tcPr>
            <w:tcW w:w="2230" w:type="dxa"/>
            <w:gridSpan w:val="3"/>
            <w:vAlign w:val="center"/>
          </w:tcPr>
          <w:p>
            <w:pPr>
              <w:jc w:val="center"/>
              <w:rPr>
                <w:rFonts w:ascii="Times New Roman" w:hAnsi="Times New Roman" w:cs="Times New Roman"/>
                <w:color w:val="auto"/>
                <w:sz w:val="24"/>
              </w:rPr>
            </w:pPr>
            <w:r>
              <w:rPr>
                <w:rFonts w:ascii="Times New Roman" w:hAnsi="Times New Roman" w:cs="Times New Roman"/>
                <w:color w:val="auto"/>
                <w:sz w:val="24"/>
              </w:rPr>
              <w:t>消耗量</w:t>
            </w:r>
          </w:p>
        </w:tc>
        <w:tc>
          <w:tcPr>
            <w:tcW w:w="2405" w:type="dxa"/>
            <w:gridSpan w:val="3"/>
            <w:vAlign w:val="center"/>
          </w:tcPr>
          <w:p>
            <w:pPr>
              <w:jc w:val="center"/>
              <w:rPr>
                <w:rFonts w:ascii="Times New Roman" w:hAnsi="Times New Roman" w:cs="Times New Roman"/>
                <w:color w:val="auto"/>
                <w:sz w:val="24"/>
              </w:rPr>
            </w:pPr>
            <w:r>
              <w:rPr>
                <w:rFonts w:ascii="Times New Roman" w:hAnsi="Times New Roman" w:cs="Times New Roman"/>
                <w:color w:val="auto"/>
                <w:sz w:val="24"/>
              </w:rPr>
              <w:t>名称</w:t>
            </w:r>
          </w:p>
        </w:tc>
        <w:tc>
          <w:tcPr>
            <w:tcW w:w="2543" w:type="dxa"/>
            <w:gridSpan w:val="3"/>
            <w:vAlign w:val="center"/>
          </w:tcPr>
          <w:p>
            <w:pPr>
              <w:jc w:val="center"/>
              <w:rPr>
                <w:rFonts w:ascii="Times New Roman" w:hAnsi="Times New Roman" w:cs="Times New Roman"/>
                <w:color w:val="auto"/>
                <w:sz w:val="24"/>
              </w:rPr>
            </w:pPr>
            <w:r>
              <w:rPr>
                <w:rFonts w:ascii="Times New Roman" w:hAnsi="Times New Roman" w:cs="Times New Roman"/>
                <w:color w:val="auto"/>
                <w:sz w:val="24"/>
              </w:rPr>
              <w:t>消耗量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800" w:type="dxa"/>
            <w:gridSpan w:val="2"/>
            <w:vAlign w:val="center"/>
          </w:tcPr>
          <w:p>
            <w:pPr>
              <w:jc w:val="center"/>
              <w:rPr>
                <w:rFonts w:ascii="Times New Roman" w:hAnsi="Times New Roman" w:cs="Times New Roman"/>
                <w:color w:val="auto"/>
                <w:sz w:val="24"/>
              </w:rPr>
            </w:pPr>
            <w:r>
              <w:rPr>
                <w:rFonts w:ascii="Times New Roman" w:hAnsi="Times New Roman" w:cs="Times New Roman"/>
                <w:color w:val="auto"/>
                <w:sz w:val="24"/>
              </w:rPr>
              <w:t>水（吨/年）</w:t>
            </w:r>
          </w:p>
        </w:tc>
        <w:tc>
          <w:tcPr>
            <w:tcW w:w="2230" w:type="dxa"/>
            <w:gridSpan w:val="3"/>
            <w:vAlign w:val="center"/>
          </w:tcPr>
          <w:p>
            <w:pPr>
              <w:jc w:val="center"/>
              <w:rPr>
                <w:rFonts w:ascii="Times New Roman" w:hAnsi="Times New Roman" w:cs="Times New Roman"/>
                <w:color w:val="auto"/>
                <w:sz w:val="24"/>
              </w:rPr>
            </w:pPr>
            <w:r>
              <w:rPr>
                <w:rFonts w:hint="eastAsia" w:ascii="Times New Roman" w:hAnsi="Times New Roman" w:cs="Times New Roman"/>
                <w:color w:val="auto"/>
                <w:sz w:val="24"/>
              </w:rPr>
              <w:t>/</w:t>
            </w:r>
          </w:p>
        </w:tc>
        <w:tc>
          <w:tcPr>
            <w:tcW w:w="2405" w:type="dxa"/>
            <w:gridSpan w:val="3"/>
            <w:vAlign w:val="center"/>
          </w:tcPr>
          <w:p>
            <w:pPr>
              <w:jc w:val="center"/>
              <w:rPr>
                <w:rFonts w:ascii="Times New Roman" w:hAnsi="Times New Roman" w:cs="Times New Roman"/>
                <w:color w:val="auto"/>
                <w:sz w:val="24"/>
              </w:rPr>
            </w:pPr>
            <w:r>
              <w:rPr>
                <w:rFonts w:ascii="Times New Roman" w:hAnsi="Times New Roman" w:cs="Times New Roman"/>
                <w:color w:val="auto"/>
                <w:sz w:val="24"/>
              </w:rPr>
              <w:t>燃油（吨/年）</w:t>
            </w:r>
          </w:p>
        </w:tc>
        <w:tc>
          <w:tcPr>
            <w:tcW w:w="2543" w:type="dxa"/>
            <w:gridSpan w:val="3"/>
            <w:vAlign w:val="center"/>
          </w:tcPr>
          <w:p>
            <w:pPr>
              <w:jc w:val="center"/>
              <w:rPr>
                <w:rFonts w:hint="eastAsia" w:ascii="Times New Roman" w:hAnsi="Times New Roman" w:cs="Times New Roman" w:eastAsiaTheme="minorEastAsia"/>
                <w:color w:val="auto"/>
                <w:sz w:val="24"/>
                <w:lang w:eastAsia="zh-CN"/>
              </w:rPr>
            </w:pPr>
            <w:r>
              <w:rPr>
                <w:rFonts w:hint="eastAsia" w:ascii="Times New Roman" w:hAnsi="Times New Roman" w:cs="Times New Roman"/>
                <w:color w:val="auto"/>
                <w:sz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800" w:type="dxa"/>
            <w:gridSpan w:val="2"/>
            <w:shd w:val="clear" w:color="auto" w:fill="auto"/>
            <w:vAlign w:val="center"/>
          </w:tcPr>
          <w:p>
            <w:pPr>
              <w:jc w:val="center"/>
              <w:rPr>
                <w:rFonts w:ascii="Times New Roman" w:hAnsi="Times New Roman" w:cs="Times New Roman"/>
                <w:color w:val="auto"/>
                <w:sz w:val="24"/>
              </w:rPr>
            </w:pPr>
            <w:r>
              <w:rPr>
                <w:rFonts w:ascii="Times New Roman" w:hAnsi="Times New Roman" w:cs="Times New Roman"/>
                <w:color w:val="auto"/>
                <w:sz w:val="24"/>
              </w:rPr>
              <w:t>电（度/年）</w:t>
            </w:r>
          </w:p>
        </w:tc>
        <w:tc>
          <w:tcPr>
            <w:tcW w:w="2230" w:type="dxa"/>
            <w:gridSpan w:val="3"/>
            <w:shd w:val="clear" w:color="auto" w:fill="auto"/>
            <w:vAlign w:val="center"/>
          </w:tcPr>
          <w:p>
            <w:pPr>
              <w:jc w:val="center"/>
              <w:rPr>
                <w:rFonts w:hint="eastAsia" w:ascii="Times New Roman" w:hAnsi="Times New Roman" w:cs="Times New Roman" w:eastAsiaTheme="minorEastAsia"/>
                <w:color w:val="auto"/>
                <w:sz w:val="24"/>
                <w:lang w:eastAsia="zh-CN"/>
              </w:rPr>
            </w:pPr>
            <w:r>
              <w:rPr>
                <w:rFonts w:hint="eastAsia" w:ascii="Times New Roman" w:hAnsi="Times New Roman" w:cs="Times New Roman"/>
                <w:color w:val="auto"/>
                <w:sz w:val="24"/>
                <w:lang w:val="en-US" w:eastAsia="zh-CN"/>
              </w:rPr>
              <w:t>/</w:t>
            </w:r>
          </w:p>
        </w:tc>
        <w:tc>
          <w:tcPr>
            <w:tcW w:w="2405" w:type="dxa"/>
            <w:gridSpan w:val="3"/>
            <w:vAlign w:val="center"/>
          </w:tcPr>
          <w:p>
            <w:pPr>
              <w:jc w:val="center"/>
              <w:rPr>
                <w:rFonts w:ascii="Times New Roman" w:hAnsi="Times New Roman" w:cs="Times New Roman"/>
                <w:color w:val="auto"/>
                <w:sz w:val="24"/>
              </w:rPr>
            </w:pPr>
            <w:r>
              <w:rPr>
                <w:rFonts w:ascii="Times New Roman" w:hAnsi="Times New Roman" w:cs="Times New Roman"/>
                <w:color w:val="auto"/>
                <w:sz w:val="24"/>
              </w:rPr>
              <w:t>燃气（标立方米/年）</w:t>
            </w:r>
          </w:p>
        </w:tc>
        <w:tc>
          <w:tcPr>
            <w:tcW w:w="2543" w:type="dxa"/>
            <w:gridSpan w:val="3"/>
            <w:vAlign w:val="center"/>
          </w:tcPr>
          <w:p>
            <w:pPr>
              <w:jc w:val="center"/>
              <w:rPr>
                <w:rFonts w:ascii="Times New Roman" w:hAnsi="Times New Roman" w:cs="Times New Roman"/>
                <w:color w:val="auto"/>
                <w:sz w:val="24"/>
              </w:rPr>
            </w:pPr>
            <w:r>
              <w:rPr>
                <w:rFonts w:ascii="Times New Roman" w:hAnsi="Times New Roman" w:cs="Times New Roman"/>
                <w:color w:val="auto"/>
                <w:sz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800" w:type="dxa"/>
            <w:gridSpan w:val="2"/>
            <w:vAlign w:val="center"/>
          </w:tcPr>
          <w:p>
            <w:pPr>
              <w:jc w:val="center"/>
              <w:rPr>
                <w:rFonts w:ascii="Times New Roman" w:hAnsi="Times New Roman" w:cs="Times New Roman"/>
                <w:color w:val="auto"/>
                <w:sz w:val="24"/>
              </w:rPr>
            </w:pPr>
            <w:r>
              <w:rPr>
                <w:rFonts w:ascii="Times New Roman" w:hAnsi="Times New Roman" w:cs="Times New Roman"/>
                <w:color w:val="auto"/>
                <w:sz w:val="24"/>
              </w:rPr>
              <w:t>蒸汽（吨/年）</w:t>
            </w:r>
          </w:p>
        </w:tc>
        <w:tc>
          <w:tcPr>
            <w:tcW w:w="2230" w:type="dxa"/>
            <w:gridSpan w:val="3"/>
            <w:vAlign w:val="center"/>
          </w:tcPr>
          <w:p>
            <w:pPr>
              <w:jc w:val="center"/>
              <w:rPr>
                <w:rFonts w:ascii="Times New Roman" w:hAnsi="Times New Roman" w:cs="Times New Roman"/>
                <w:color w:val="auto"/>
                <w:sz w:val="24"/>
              </w:rPr>
            </w:pPr>
            <w:r>
              <w:rPr>
                <w:rFonts w:ascii="Times New Roman" w:hAnsi="Times New Roman" w:cs="Times New Roman"/>
                <w:color w:val="auto"/>
                <w:sz w:val="24"/>
              </w:rPr>
              <w:t>/</w:t>
            </w:r>
          </w:p>
        </w:tc>
        <w:tc>
          <w:tcPr>
            <w:tcW w:w="2405" w:type="dxa"/>
            <w:gridSpan w:val="3"/>
            <w:vAlign w:val="center"/>
          </w:tcPr>
          <w:p>
            <w:pPr>
              <w:jc w:val="center"/>
              <w:rPr>
                <w:rFonts w:ascii="Times New Roman" w:hAnsi="Times New Roman" w:cs="Times New Roman"/>
                <w:color w:val="auto"/>
                <w:sz w:val="24"/>
              </w:rPr>
            </w:pPr>
            <w:r>
              <w:rPr>
                <w:rFonts w:ascii="Times New Roman" w:hAnsi="Times New Roman" w:cs="Times New Roman"/>
                <w:color w:val="auto"/>
                <w:sz w:val="24"/>
              </w:rPr>
              <w:t>其它</w:t>
            </w:r>
          </w:p>
        </w:tc>
        <w:tc>
          <w:tcPr>
            <w:tcW w:w="2543" w:type="dxa"/>
            <w:gridSpan w:val="3"/>
            <w:vAlign w:val="center"/>
          </w:tcPr>
          <w:p>
            <w:pPr>
              <w:jc w:val="center"/>
              <w:rPr>
                <w:rFonts w:ascii="Times New Roman" w:hAnsi="Times New Roman" w:cs="Times New Roman"/>
                <w:color w:val="auto"/>
                <w:sz w:val="24"/>
              </w:rPr>
            </w:pPr>
            <w:r>
              <w:rPr>
                <w:rFonts w:ascii="Times New Roman" w:hAnsi="Times New Roman" w:cs="Times New Roman"/>
                <w:color w:val="auto"/>
                <w:sz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8978" w:type="dxa"/>
            <w:gridSpan w:val="11"/>
            <w:vAlign w:val="center"/>
          </w:tcPr>
          <w:p>
            <w:pPr>
              <w:spacing w:line="360" w:lineRule="auto"/>
              <w:jc w:val="left"/>
              <w:rPr>
                <w:rFonts w:ascii="Times New Roman" w:hAnsi="Times New Roman" w:cs="Times New Roman"/>
                <w:b/>
                <w:color w:val="auto"/>
                <w:sz w:val="24"/>
              </w:rPr>
            </w:pPr>
            <w:r>
              <w:rPr>
                <w:rFonts w:ascii="Times New Roman" w:hAnsi="Times New Roman" w:cs="Times New Roman"/>
                <w:b/>
                <w:color w:val="auto"/>
                <w:sz w:val="24"/>
              </w:rPr>
              <mc:AlternateContent>
                <mc:Choice Requires="wps">
                  <w:drawing>
                    <wp:anchor distT="0" distB="0" distL="114300" distR="114300" simplePos="0" relativeHeight="251659264" behindDoc="0" locked="0" layoutInCell="1" allowOverlap="1">
                      <wp:simplePos x="0" y="0"/>
                      <wp:positionH relativeFrom="column">
                        <wp:posOffset>1116965</wp:posOffset>
                      </wp:positionH>
                      <wp:positionV relativeFrom="paragraph">
                        <wp:posOffset>43815</wp:posOffset>
                      </wp:positionV>
                      <wp:extent cx="154305" cy="116205"/>
                      <wp:effectExtent l="4445" t="4445" r="12700" b="12700"/>
                      <wp:wrapNone/>
                      <wp:docPr id="2" name="矩形 3"/>
                      <wp:cNvGraphicFramePr/>
                      <a:graphic xmlns:a="http://schemas.openxmlformats.org/drawingml/2006/main">
                        <a:graphicData uri="http://schemas.microsoft.com/office/word/2010/wordprocessingShape">
                          <wps:wsp>
                            <wps:cNvSpPr/>
                            <wps:spPr>
                              <a:xfrm>
                                <a:off x="0" y="0"/>
                                <a:ext cx="154305" cy="11620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3" o:spid="_x0000_s1026" o:spt="1" style="position:absolute;left:0pt;margin-left:87.95pt;margin-top:3.45pt;height:9.15pt;width:12.15pt;z-index:251659264;mso-width-relative:page;mso-height-relative:page;" filled="f" stroked="t" coordsize="21600,21600" o:gfxdata="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1aCJG1AAAAAgBAAAPAAAAAAAAAAEA&#10;IAAAACIAAABkcnMvZG93bnJldi54bWxQSwECFAAUAAAACACHTuJAk4oTz9oBAACmAwAADgAAAAAA&#10;AAABACAAAAAjAQAAZHJzL2Uyb0RvYy54bWxQSwUGAAAAAAYABgBZAQAAbwUAAAAA&#10;">
                      <v:fill on="f" focussize="0,0"/>
                      <v:stroke color="#000000" joinstyle="miter"/>
                      <v:imagedata o:title=""/>
                      <o:lock v:ext="edit" aspectratio="f"/>
                    </v:rect>
                  </w:pict>
                </mc:Fallback>
              </mc:AlternateContent>
            </w:r>
            <w:r>
              <w:rPr>
                <w:rFonts w:ascii="Times New Roman" w:hAnsi="Times New Roman" w:cs="Times New Roman"/>
                <w:b/>
                <w:color w:val="auto"/>
                <w:sz w:val="24"/>
              </w:rPr>
              <mc:AlternateContent>
                <mc:Choice Requires="wps">
                  <w:drawing>
                    <wp:anchor distT="0" distB="0" distL="114300" distR="114300" simplePos="0" relativeHeight="251658240" behindDoc="0" locked="0" layoutInCell="1" allowOverlap="1">
                      <wp:simplePos x="0" y="0"/>
                      <wp:positionH relativeFrom="column">
                        <wp:posOffset>2136140</wp:posOffset>
                      </wp:positionH>
                      <wp:positionV relativeFrom="paragraph">
                        <wp:posOffset>40640</wp:posOffset>
                      </wp:positionV>
                      <wp:extent cx="135890" cy="122555"/>
                      <wp:effectExtent l="5080" t="4445" r="11430" b="6350"/>
                      <wp:wrapNone/>
                      <wp:docPr id="3" name="矩形 4"/>
                      <wp:cNvGraphicFramePr/>
                      <a:graphic xmlns:a="http://schemas.openxmlformats.org/drawingml/2006/main">
                        <a:graphicData uri="http://schemas.microsoft.com/office/word/2010/wordprocessingShape">
                          <wps:wsp>
                            <wps:cNvSpPr/>
                            <wps:spPr>
                              <a:xfrm flipV="1">
                                <a:off x="0" y="0"/>
                                <a:ext cx="135890" cy="12255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4" o:spid="_x0000_s1026" o:spt="1" style="position:absolute;left:0pt;flip:y;margin-left:168.2pt;margin-top:3.2pt;height:9.65pt;width:10.7pt;z-index:251658240;mso-width-relative:page;mso-height-relative:page;" filled="f" stroked="t" coordsize="21600,21600" o:gfxdata="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HjHkNYAAAAIAQAA&#10;DwAAAAAAAAABACAAAAAiAAAAZHJzL2Rvd25yZXYueG1sUEsBAhQAFAAAAAgAh07iQJvQTBfiAQAA&#10;sAMAAA4AAAAAAAAAAQAgAAAAJQEAAGRycy9lMm9Eb2MueG1sUEsFBgAAAAAGAAYAWQEAAHkFAAAA&#10;AA==&#10;">
                      <v:fill on="f" focussize="0,0"/>
                      <v:stroke color="#000000" joinstyle="miter"/>
                      <v:imagedata o:title=""/>
                      <o:lock v:ext="edit" aspectratio="f"/>
                    </v:rect>
                  </w:pict>
                </mc:Fallback>
              </mc:AlternateContent>
            </w:r>
            <w:r>
              <w:rPr>
                <w:rFonts w:ascii="Times New Roman" w:hAnsi="Times New Roman" w:cs="Times New Roman"/>
                <w:b/>
                <w:color w:val="auto"/>
                <w:sz w:val="24"/>
              </w:rPr>
              <w:t>废水（工业废水   、生活废水 √ ）排水量及排放去向：</w:t>
            </w:r>
          </w:p>
          <w:p>
            <w:pPr>
              <w:spacing w:line="360" w:lineRule="auto"/>
              <w:ind w:firstLine="472" w:firstLineChars="200"/>
              <w:rPr>
                <w:rFonts w:ascii="Times New Roman" w:hAnsi="Times New Roman" w:cs="Times New Roman"/>
                <w:color w:val="auto"/>
                <w:spacing w:val="-2"/>
                <w:sz w:val="24"/>
                <w:lang w:val="zh-CN"/>
              </w:rPr>
            </w:pPr>
            <w:r>
              <w:rPr>
                <w:rFonts w:hint="eastAsia" w:ascii="Times New Roman" w:hAnsi="Times New Roman" w:cs="Times New Roman"/>
                <w:color w:val="auto"/>
                <w:spacing w:val="-2"/>
                <w:sz w:val="24"/>
              </w:rPr>
              <w:t>本项目的废水为施工期的施工人员的生活污水和施工废水。施工期施工人员利用就近原有的卫生设施收集，通过</w:t>
            </w:r>
            <w:r>
              <w:rPr>
                <w:rFonts w:hint="eastAsia" w:ascii="Times New Roman" w:hAnsi="Times New Roman" w:cs="Times New Roman"/>
                <w:color w:val="auto"/>
                <w:spacing w:val="-2"/>
                <w:sz w:val="24"/>
                <w:lang w:eastAsia="zh-CN"/>
              </w:rPr>
              <w:t>管网</w:t>
            </w:r>
            <w:r>
              <w:rPr>
                <w:rFonts w:hint="eastAsia" w:ascii="Times New Roman" w:hAnsi="Times New Roman" w:cs="Times New Roman"/>
                <w:color w:val="auto"/>
                <w:spacing w:val="-2"/>
                <w:sz w:val="24"/>
              </w:rPr>
              <w:t>排入宜兴市华骐污水处理厂处理；施工废水经处理后可用作扬尘洒水，不外排。</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8978" w:type="dxa"/>
            <w:gridSpan w:val="11"/>
            <w:vAlign w:val="center"/>
          </w:tcPr>
          <w:p>
            <w:pPr>
              <w:spacing w:line="360" w:lineRule="auto"/>
              <w:jc w:val="left"/>
              <w:rPr>
                <w:rFonts w:ascii="Times New Roman" w:hAnsi="Times New Roman" w:cs="Times New Roman"/>
                <w:b/>
                <w:color w:val="auto"/>
                <w:sz w:val="24"/>
              </w:rPr>
            </w:pPr>
            <w:r>
              <w:rPr>
                <w:rFonts w:ascii="Times New Roman" w:hAnsi="Times New Roman" w:cs="Times New Roman"/>
                <w:b/>
                <w:color w:val="auto"/>
                <w:sz w:val="24"/>
              </w:rPr>
              <w:t>放射性同位素和伴有电磁辐射的设施的使用情况：</w:t>
            </w:r>
          </w:p>
          <w:p>
            <w:pPr>
              <w:spacing w:line="360" w:lineRule="auto"/>
              <w:ind w:firstLine="480" w:firstLineChars="200"/>
              <w:jc w:val="left"/>
              <w:rPr>
                <w:rFonts w:ascii="Times New Roman" w:hAnsi="Times New Roman" w:cs="Times New Roman"/>
                <w:color w:val="auto"/>
                <w:sz w:val="24"/>
              </w:rPr>
            </w:pPr>
            <w:r>
              <w:rPr>
                <w:rFonts w:ascii="Times New Roman" w:hAnsi="Times New Roman" w:cs="Times New Roman"/>
                <w:color w:val="auto"/>
                <w:sz w:val="24"/>
              </w:rPr>
              <w:t>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2965" w:hRule="atLeast"/>
          <w:jc w:val="center"/>
        </w:trPr>
        <w:tc>
          <w:tcPr>
            <w:tcW w:w="8978" w:type="dxa"/>
            <w:gridSpan w:val="11"/>
            <w:tcBorders>
              <w:top w:val="single" w:color="auto" w:sz="4" w:space="0"/>
              <w:bottom w:val="single" w:color="auto" w:sz="4" w:space="0"/>
            </w:tcBorders>
          </w:tcPr>
          <w:p>
            <w:pPr>
              <w:spacing w:line="360" w:lineRule="auto"/>
              <w:rPr>
                <w:rFonts w:ascii="Times New Roman" w:hAnsi="Times New Roman" w:cs="Times New Roman"/>
                <w:b/>
                <w:color w:val="auto"/>
                <w:sz w:val="24"/>
              </w:rPr>
            </w:pPr>
            <w:r>
              <w:rPr>
                <w:rFonts w:ascii="Times New Roman" w:hAnsi="Times New Roman" w:cs="Times New Roman"/>
                <w:b/>
                <w:color w:val="auto"/>
                <w:sz w:val="24"/>
              </w:rPr>
              <w:t>内容及规模</w:t>
            </w:r>
            <w:r>
              <w:rPr>
                <w:rFonts w:hint="eastAsia" w:ascii="Times New Roman" w:hAnsi="Times New Roman" w:cs="Times New Roman"/>
                <w:b/>
                <w:color w:val="auto"/>
                <w:sz w:val="24"/>
              </w:rPr>
              <w:t>：（不够时可附另页）</w:t>
            </w:r>
          </w:p>
          <w:p>
            <w:pPr>
              <w:spacing w:line="360" w:lineRule="auto"/>
              <w:ind w:firstLine="482" w:firstLineChars="200"/>
              <w:rPr>
                <w:rFonts w:ascii="Times New Roman" w:hAnsi="Times New Roman" w:cs="Times New Roman"/>
                <w:b/>
                <w:color w:val="auto"/>
                <w:sz w:val="24"/>
              </w:rPr>
            </w:pPr>
            <w:r>
              <w:rPr>
                <w:rFonts w:hint="eastAsia" w:ascii="Times New Roman" w:hAnsi="Times New Roman" w:cs="Times New Roman"/>
                <w:b/>
                <w:color w:val="auto"/>
                <w:sz w:val="24"/>
              </w:rPr>
              <w:t>一、项目由来</w:t>
            </w:r>
          </w:p>
          <w:p>
            <w:pPr>
              <w:spacing w:line="360" w:lineRule="auto"/>
              <w:ind w:firstLine="480" w:firstLineChars="200"/>
              <w:rPr>
                <w:rFonts w:ascii="Times New Roman" w:hAnsi="Times New Roman" w:cs="Times New Roman"/>
                <w:bCs/>
                <w:color w:val="auto"/>
                <w:sz w:val="24"/>
              </w:rPr>
            </w:pPr>
            <w:r>
              <w:rPr>
                <w:rFonts w:hint="eastAsia" w:ascii="Times New Roman" w:hAnsi="Times New Roman" w:cs="Times New Roman"/>
                <w:bCs/>
                <w:color w:val="auto"/>
                <w:sz w:val="24"/>
              </w:rPr>
              <w:t>自2007年太湖发生水危机以来，在中央、省委省政府和无锡市委市政府对此高度重视，把太湖流域水环境治理放到更加突出、更加紧迫、更加重要的位置，坚持科学规划、远近结合、标本兼治、综合治理，用10到20年的时间或者更长时间，实现流域社会经济的可持续发展，形成流域生态良性循环，人与自然和谐相处的宜居环境，逐步恢复太湖地区山清水秀的自然风貌，让太湖明珠重现碧波美景下。</w:t>
            </w:r>
            <w:r>
              <w:rPr>
                <w:rFonts w:hint="eastAsia" w:ascii="Times New Roman" w:hAnsi="Times New Roman" w:cs="Times New Roman"/>
                <w:bCs/>
                <w:color w:val="FF0000"/>
                <w:sz w:val="24"/>
                <w:lang w:eastAsia="zh-CN"/>
              </w:rPr>
              <w:t>宜兴市水利工程建设管理中心</w:t>
            </w:r>
            <w:r>
              <w:rPr>
                <w:rFonts w:hint="eastAsia" w:ascii="Times New Roman" w:hAnsi="Times New Roman" w:cs="Times New Roman"/>
                <w:bCs/>
                <w:color w:val="FF0000"/>
                <w:sz w:val="24"/>
              </w:rPr>
              <w:t>拟投资6</w:t>
            </w:r>
            <w:r>
              <w:rPr>
                <w:rFonts w:hint="eastAsia" w:ascii="Times New Roman" w:hAnsi="Times New Roman" w:cs="Times New Roman"/>
                <w:bCs/>
                <w:color w:val="FF0000"/>
                <w:sz w:val="24"/>
                <w:lang w:val="en-US" w:eastAsia="zh-CN"/>
              </w:rPr>
              <w:t>200</w:t>
            </w:r>
            <w:r>
              <w:rPr>
                <w:rFonts w:hint="eastAsia" w:ascii="Times New Roman" w:hAnsi="Times New Roman" w:cs="Times New Roman"/>
                <w:bCs/>
                <w:color w:val="FF0000"/>
                <w:sz w:val="24"/>
              </w:rPr>
              <w:t>万元实施太湖湖西大堤宜兴双桥港至黄渎港保滩固堤结合湖滨带生态修复工程，</w:t>
            </w:r>
            <w:r>
              <w:rPr>
                <w:rFonts w:hint="eastAsia" w:ascii="Times New Roman" w:hAnsi="Times New Roman" w:cs="Times New Roman"/>
                <w:bCs/>
                <w:color w:val="FF0000"/>
                <w:sz w:val="24"/>
                <w:shd w:val="clear"/>
                <w:lang w:eastAsia="zh-CN"/>
              </w:rPr>
              <w:t>建设规模约</w:t>
            </w:r>
            <w:r>
              <w:rPr>
                <w:rFonts w:hint="eastAsia" w:ascii="Times New Roman" w:hAnsi="Times New Roman" w:cs="Times New Roman"/>
                <w:bCs/>
                <w:color w:val="FF0000"/>
                <w:sz w:val="24"/>
                <w:shd w:val="clear"/>
                <w:lang w:val="en-US" w:eastAsia="zh-CN"/>
              </w:rPr>
              <w:t>600亩。</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根据《中华人民共和国环境保护法》、《中华人民共和国环境影响评价法》、《建设项目环境保护管理条例》等法律、法规的规定，对照《建设项目环境影响评价分类管理名录》</w:t>
            </w:r>
            <w:r>
              <w:rPr>
                <w:rFonts w:hint="eastAsia" w:ascii="Times New Roman" w:hAnsi="Times New Roman" w:eastAsia="宋体" w:cs="Times New Roman"/>
                <w:color w:val="auto"/>
                <w:sz w:val="24"/>
              </w:rPr>
              <w:t>“三十四、环境治理业，102-污染场地治理修复，全部</w:t>
            </w:r>
            <w:r>
              <w:rPr>
                <w:rFonts w:ascii="Times New Roman" w:hAnsi="Times New Roman" w:eastAsia="宋体" w:cs="Times New Roman"/>
                <w:color w:val="auto"/>
                <w:sz w:val="24"/>
              </w:rPr>
              <w:t>编制报告表</w:t>
            </w:r>
            <w:r>
              <w:rPr>
                <w:rFonts w:hint="eastAsia" w:ascii="Times New Roman" w:hAnsi="Times New Roman" w:eastAsia="宋体" w:cs="Times New Roman"/>
                <w:color w:val="auto"/>
                <w:sz w:val="24"/>
              </w:rPr>
              <w:t>”故本项目应编制环境影响报告表</w:t>
            </w:r>
            <w:r>
              <w:rPr>
                <w:rFonts w:ascii="Times New Roman" w:hAnsi="Times New Roman" w:eastAsia="宋体" w:cs="Times New Roman"/>
                <w:color w:val="auto"/>
                <w:sz w:val="24"/>
              </w:rPr>
              <w:t>，</w:t>
            </w:r>
            <w:r>
              <w:rPr>
                <w:rFonts w:hint="eastAsia" w:ascii="Times New Roman" w:hAnsi="Times New Roman" w:cs="Times New Roman"/>
                <w:bCs/>
                <w:color w:val="FF0000"/>
                <w:sz w:val="24"/>
                <w:lang w:eastAsia="zh-CN"/>
              </w:rPr>
              <w:t>宜兴市水利工程建设管理中心</w:t>
            </w:r>
            <w:r>
              <w:rPr>
                <w:rFonts w:ascii="Times New Roman" w:hAnsi="Times New Roman" w:eastAsia="宋体" w:cs="Times New Roman"/>
                <w:color w:val="FF0000"/>
                <w:sz w:val="24"/>
              </w:rPr>
              <w:t>委托</w:t>
            </w:r>
            <w:r>
              <w:rPr>
                <w:rFonts w:hint="eastAsia" w:ascii="Times New Roman" w:hAnsi="Times New Roman" w:eastAsia="宋体" w:cs="Times New Roman"/>
                <w:color w:val="FF0000"/>
                <w:sz w:val="24"/>
              </w:rPr>
              <w:t>南京赛特环境工程有限公司</w:t>
            </w:r>
            <w:r>
              <w:rPr>
                <w:rFonts w:ascii="Times New Roman" w:hAnsi="Times New Roman" w:eastAsia="宋体" w:cs="Times New Roman"/>
                <w:color w:val="FF0000"/>
                <w:sz w:val="24"/>
              </w:rPr>
              <w:t>编制</w:t>
            </w:r>
            <w:r>
              <w:rPr>
                <w:rFonts w:hint="eastAsia" w:ascii="Times New Roman" w:hAnsi="Times New Roman" w:eastAsia="宋体" w:cs="Times New Roman"/>
                <w:color w:val="FF0000"/>
                <w:sz w:val="24"/>
                <w:lang w:eastAsia="zh-CN"/>
              </w:rPr>
              <w:t>《</w:t>
            </w:r>
            <w:r>
              <w:rPr>
                <w:rFonts w:hint="eastAsia" w:ascii="Times New Roman" w:hAnsi="Times New Roman" w:eastAsia="宋体" w:cs="Times New Roman"/>
                <w:color w:val="FF0000"/>
                <w:sz w:val="24"/>
              </w:rPr>
              <w:t>太湖湖西大堤宜兴双桥港至黄渎港保滩固堤结合湖滨带生态修复工程</w:t>
            </w:r>
            <w:r>
              <w:rPr>
                <w:rFonts w:ascii="Times New Roman" w:hAnsi="Times New Roman" w:eastAsia="宋体" w:cs="Times New Roman"/>
                <w:color w:val="FF0000"/>
                <w:sz w:val="24"/>
              </w:rPr>
              <w:t>环境影响</w:t>
            </w:r>
            <w:r>
              <w:rPr>
                <w:rFonts w:hint="eastAsia" w:ascii="Times New Roman" w:hAnsi="Times New Roman" w:eastAsia="宋体" w:cs="Times New Roman"/>
                <w:color w:val="FF0000"/>
                <w:sz w:val="24"/>
                <w:lang w:eastAsia="zh-CN"/>
              </w:rPr>
              <w:t>评价</w:t>
            </w:r>
            <w:r>
              <w:rPr>
                <w:rFonts w:ascii="Times New Roman" w:hAnsi="Times New Roman" w:eastAsia="宋体" w:cs="Times New Roman"/>
                <w:color w:val="FF0000"/>
                <w:sz w:val="24"/>
              </w:rPr>
              <w:t>报告表》，</w:t>
            </w:r>
            <w:r>
              <w:rPr>
                <w:rFonts w:ascii="Times New Roman" w:hAnsi="Times New Roman" w:eastAsia="宋体" w:cs="Times New Roman"/>
                <w:color w:val="auto"/>
                <w:sz w:val="24"/>
              </w:rPr>
              <w:t>我公司接受委托后即组织进行现场勘查、相关资料收集及其他相关工作，按国家相关环境法律、法规及环境影响评价技术导则等编写本项目环境影响报告表，报请环保主管部门审查、审批，为项目实施和管理提供依据。</w:t>
            </w:r>
          </w:p>
          <w:p>
            <w:pPr>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rPr>
              <w:t>本项目所涉及的安全、消防、卫生等问题不属于本评价的范围，请公司按照国家相关法律、法规和有关标准执行。</w:t>
            </w:r>
          </w:p>
          <w:p>
            <w:pPr>
              <w:spacing w:line="360" w:lineRule="auto"/>
              <w:ind w:firstLine="482" w:firstLineChars="200"/>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rPr>
              <w:t>二、工程内容</w:t>
            </w:r>
          </w:p>
          <w:p>
            <w:pPr>
              <w:spacing w:line="360" w:lineRule="auto"/>
              <w:ind w:firstLine="480" w:firstLineChars="200"/>
              <w:rPr>
                <w:rFonts w:ascii="Times New Roman" w:hAnsi="Times New Roman" w:eastAsia="宋体" w:cs="Times New Roman"/>
                <w:color w:val="FF0000"/>
                <w:sz w:val="24"/>
              </w:rPr>
            </w:pPr>
            <w:r>
              <w:rPr>
                <w:rFonts w:hint="eastAsia" w:ascii="Times New Roman" w:hAnsi="Times New Roman" w:eastAsia="宋体" w:cs="Times New Roman"/>
                <w:color w:val="FF0000"/>
                <w:sz w:val="24"/>
              </w:rPr>
              <w:t>1、项目名称：太湖湖西大堤宜兴双桥港至黄渎港保滩固堤结合湖滨带生态修复工程</w:t>
            </w:r>
          </w:p>
          <w:p>
            <w:pPr>
              <w:spacing w:line="360" w:lineRule="auto"/>
              <w:ind w:firstLine="480" w:firstLineChars="200"/>
              <w:rPr>
                <w:rFonts w:ascii="Times New Roman" w:hAnsi="Times New Roman" w:eastAsia="宋体" w:cs="Times New Roman"/>
                <w:color w:val="FF0000"/>
                <w:sz w:val="24"/>
              </w:rPr>
            </w:pPr>
            <w:r>
              <w:rPr>
                <w:rFonts w:hint="eastAsia" w:ascii="Times New Roman" w:hAnsi="Times New Roman" w:eastAsia="宋体" w:cs="Times New Roman"/>
                <w:color w:val="FF0000"/>
                <w:sz w:val="24"/>
              </w:rPr>
              <w:t>2、建设单位：</w:t>
            </w:r>
            <w:r>
              <w:rPr>
                <w:rFonts w:hint="eastAsia" w:ascii="Times New Roman" w:hAnsi="Times New Roman" w:cs="Times New Roman"/>
                <w:bCs/>
                <w:color w:val="FF0000"/>
                <w:sz w:val="24"/>
                <w:lang w:eastAsia="zh-CN"/>
              </w:rPr>
              <w:t>宜兴市水利工程建设管理中心</w:t>
            </w:r>
          </w:p>
          <w:p>
            <w:pPr>
              <w:spacing w:line="360" w:lineRule="auto"/>
              <w:ind w:firstLine="480" w:firstLineChars="200"/>
              <w:rPr>
                <w:rFonts w:ascii="Times New Roman" w:hAnsi="Times New Roman" w:eastAsia="宋体" w:cs="Times New Roman"/>
                <w:color w:val="FF0000"/>
                <w:sz w:val="24"/>
              </w:rPr>
            </w:pPr>
            <w:r>
              <w:rPr>
                <w:rFonts w:hint="eastAsia" w:ascii="Times New Roman" w:hAnsi="Times New Roman" w:eastAsia="宋体" w:cs="Times New Roman"/>
                <w:color w:val="FF0000"/>
                <w:sz w:val="24"/>
              </w:rPr>
              <w:t>3、建设地点：宜兴市丁蜀镇双桥港至黄渎港间太湖水域，项目地理位置详见附图1。</w:t>
            </w:r>
          </w:p>
          <w:p>
            <w:pPr>
              <w:shd w:val="clear"/>
              <w:spacing w:line="360" w:lineRule="auto"/>
              <w:ind w:firstLine="480" w:firstLineChars="200"/>
              <w:rPr>
                <w:rFonts w:ascii="Times New Roman" w:hAnsi="Times New Roman" w:eastAsia="宋体" w:cs="Times New Roman"/>
                <w:color w:val="FF0000"/>
                <w:sz w:val="24"/>
              </w:rPr>
            </w:pPr>
            <w:r>
              <w:rPr>
                <w:rFonts w:hint="eastAsia" w:ascii="Times New Roman" w:hAnsi="Times New Roman" w:eastAsia="宋体" w:cs="Times New Roman"/>
                <w:color w:val="FF0000"/>
                <w:sz w:val="24"/>
              </w:rPr>
              <w:t>4、单位法人：</w:t>
            </w:r>
            <w:r>
              <w:rPr>
                <w:rFonts w:hint="eastAsia" w:ascii="Times New Roman" w:hAnsi="Times New Roman" w:eastAsia="宋体" w:cs="Times New Roman"/>
                <w:color w:val="FF0000"/>
                <w:sz w:val="24"/>
                <w:lang w:eastAsia="zh-CN"/>
              </w:rPr>
              <w:t>周凌辉</w:t>
            </w:r>
          </w:p>
          <w:p>
            <w:pPr>
              <w:spacing w:line="360" w:lineRule="auto"/>
              <w:ind w:firstLine="480" w:firstLineChars="200"/>
              <w:rPr>
                <w:rFonts w:ascii="Times New Roman" w:hAnsi="Times New Roman" w:eastAsia="宋体" w:cs="Times New Roman"/>
                <w:color w:val="FF0000"/>
                <w:sz w:val="24"/>
              </w:rPr>
            </w:pPr>
            <w:r>
              <w:rPr>
                <w:rFonts w:hint="eastAsia" w:ascii="Times New Roman" w:hAnsi="Times New Roman" w:eastAsia="宋体" w:cs="Times New Roman"/>
                <w:color w:val="FF0000"/>
                <w:sz w:val="24"/>
              </w:rPr>
              <w:t>5、项目投资：6</w:t>
            </w:r>
            <w:r>
              <w:rPr>
                <w:rFonts w:hint="eastAsia" w:ascii="Times New Roman" w:hAnsi="Times New Roman" w:eastAsia="宋体" w:cs="Times New Roman"/>
                <w:color w:val="FF0000"/>
                <w:sz w:val="24"/>
                <w:lang w:val="en-US" w:eastAsia="zh-CN"/>
              </w:rPr>
              <w:t>200</w:t>
            </w:r>
            <w:r>
              <w:rPr>
                <w:rFonts w:hint="eastAsia" w:ascii="Times New Roman" w:hAnsi="Times New Roman" w:eastAsia="宋体" w:cs="Times New Roman"/>
                <w:color w:val="FF0000"/>
                <w:sz w:val="24"/>
              </w:rPr>
              <w:t>万元</w:t>
            </w:r>
          </w:p>
          <w:p>
            <w:pPr>
              <w:spacing w:line="360" w:lineRule="auto"/>
              <w:ind w:firstLine="480" w:firstLineChars="200"/>
              <w:rPr>
                <w:rFonts w:ascii="Times New Roman" w:hAnsi="Times New Roman" w:cs="Times New Roman"/>
                <w:color w:val="auto"/>
                <w:sz w:val="24"/>
                <w:szCs w:val="24"/>
              </w:rPr>
            </w:pPr>
          </w:p>
          <w:p>
            <w:pPr>
              <w:spacing w:line="360" w:lineRule="auto"/>
              <w:ind w:firstLine="480" w:firstLineChars="200"/>
              <w:rPr>
                <w:rFonts w:ascii="Times New Roman" w:hAnsi="Times New Roman" w:cs="Times New Roman"/>
                <w:color w:val="auto"/>
                <w:sz w:val="24"/>
                <w:szCs w:val="24"/>
              </w:rPr>
            </w:pPr>
          </w:p>
          <w:p>
            <w:pPr>
              <w:jc w:val="center"/>
              <w:rPr>
                <w:rFonts w:hint="eastAsia" w:ascii="Times New Roman" w:hAnsi="Times New Roman" w:cs="Times New Roman"/>
                <w:b/>
                <w:bCs/>
                <w:color w:val="auto"/>
                <w:sz w:val="24"/>
                <w:szCs w:val="24"/>
              </w:rPr>
            </w:pPr>
          </w:p>
          <w:p>
            <w:pPr>
              <w:jc w:val="center"/>
              <w:rPr>
                <w:rFonts w:ascii="Times New Roman" w:hAnsi="Times New Roman" w:cs="Times New Roman"/>
                <w:b/>
                <w:bCs/>
                <w:color w:val="FF0000"/>
                <w:sz w:val="24"/>
                <w:szCs w:val="24"/>
              </w:rPr>
            </w:pPr>
            <w:r>
              <w:rPr>
                <w:rFonts w:hint="eastAsia" w:ascii="Times New Roman" w:hAnsi="Times New Roman" w:cs="Times New Roman"/>
                <w:b/>
                <w:bCs/>
                <w:color w:val="FF0000"/>
                <w:sz w:val="24"/>
                <w:szCs w:val="24"/>
              </w:rPr>
              <w:t>表1-1  本项目</w:t>
            </w:r>
            <w:r>
              <w:rPr>
                <w:rFonts w:hint="eastAsia" w:ascii="Times New Roman" w:hAnsi="Times New Roman" w:cs="Times New Roman"/>
                <w:b/>
                <w:bCs/>
                <w:color w:val="FF0000"/>
                <w:sz w:val="24"/>
                <w:szCs w:val="24"/>
                <w:lang w:eastAsia="zh-CN"/>
              </w:rPr>
              <w:t>施工期公辅工程</w:t>
            </w:r>
            <w:r>
              <w:rPr>
                <w:rFonts w:hint="eastAsia" w:ascii="Times New Roman" w:hAnsi="Times New Roman" w:cs="Times New Roman"/>
                <w:b/>
                <w:bCs/>
                <w:color w:val="FF0000"/>
                <w:sz w:val="24"/>
                <w:szCs w:val="24"/>
              </w:rPr>
              <w:t>一览表</w:t>
            </w:r>
          </w:p>
          <w:tbl>
            <w:tblPr>
              <w:tblStyle w:val="17"/>
              <w:tblW w:w="876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2400"/>
              <w:gridCol w:w="49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70" w:type="dxa"/>
                  <w:tcBorders>
                    <w:tl2br w:val="nil"/>
                    <w:tr2bl w:val="nil"/>
                  </w:tcBorders>
                  <w:vAlign w:val="center"/>
                </w:tcPr>
                <w:p>
                  <w:pPr>
                    <w:jc w:val="center"/>
                    <w:rPr>
                      <w:rFonts w:hint="eastAsia" w:ascii="Times New Roman" w:hAnsi="Times New Roman" w:cs="Times New Roman" w:eastAsiaTheme="minorEastAsia"/>
                      <w:b/>
                      <w:bCs/>
                      <w:color w:val="FF0000"/>
                      <w:szCs w:val="21"/>
                      <w:lang w:eastAsia="zh-CN"/>
                    </w:rPr>
                  </w:pPr>
                  <w:r>
                    <w:rPr>
                      <w:rFonts w:hint="eastAsia" w:ascii="Times New Roman" w:hAnsi="Times New Roman" w:cs="Times New Roman"/>
                      <w:b/>
                      <w:bCs/>
                      <w:color w:val="FF0000"/>
                      <w:szCs w:val="21"/>
                      <w:lang w:eastAsia="zh-CN"/>
                    </w:rPr>
                    <w:t>工程类别</w:t>
                  </w:r>
                </w:p>
              </w:tc>
              <w:tc>
                <w:tcPr>
                  <w:tcW w:w="2400" w:type="dxa"/>
                  <w:tcBorders>
                    <w:tl2br w:val="nil"/>
                    <w:tr2bl w:val="nil"/>
                  </w:tcBorders>
                  <w:vAlign w:val="center"/>
                </w:tcPr>
                <w:p>
                  <w:pPr>
                    <w:jc w:val="center"/>
                    <w:rPr>
                      <w:rFonts w:hint="eastAsia" w:ascii="Times New Roman" w:hAnsi="Times New Roman" w:cs="Times New Roman" w:eastAsiaTheme="minorEastAsia"/>
                      <w:b/>
                      <w:bCs/>
                      <w:color w:val="FF0000"/>
                      <w:szCs w:val="21"/>
                      <w:lang w:eastAsia="zh-CN"/>
                    </w:rPr>
                  </w:pPr>
                  <w:r>
                    <w:rPr>
                      <w:rFonts w:hint="eastAsia" w:ascii="Times New Roman" w:hAnsi="Times New Roman" w:cs="Times New Roman"/>
                      <w:b/>
                      <w:bCs/>
                      <w:color w:val="FF0000"/>
                      <w:szCs w:val="21"/>
                      <w:lang w:eastAsia="zh-CN"/>
                    </w:rPr>
                    <w:t>工程名称</w:t>
                  </w:r>
                </w:p>
              </w:tc>
              <w:tc>
                <w:tcPr>
                  <w:tcW w:w="4992" w:type="dxa"/>
                  <w:tcBorders>
                    <w:tl2br w:val="nil"/>
                    <w:tr2bl w:val="nil"/>
                  </w:tcBorders>
                  <w:vAlign w:val="center"/>
                </w:tcPr>
                <w:p>
                  <w:pPr>
                    <w:jc w:val="center"/>
                    <w:rPr>
                      <w:rFonts w:hint="eastAsia" w:ascii="Times New Roman" w:hAnsi="Times New Roman" w:cs="Times New Roman" w:eastAsiaTheme="minorEastAsia"/>
                      <w:b/>
                      <w:bCs/>
                      <w:color w:val="FF0000"/>
                      <w:szCs w:val="21"/>
                      <w:lang w:eastAsia="zh-CN"/>
                    </w:rPr>
                  </w:pPr>
                  <w:r>
                    <w:rPr>
                      <w:rFonts w:hint="eastAsia" w:ascii="Times New Roman" w:hAnsi="Times New Roman" w:cs="Times New Roman"/>
                      <w:b/>
                      <w:bCs/>
                      <w:color w:val="FF0000"/>
                      <w:szCs w:val="21"/>
                      <w:lang w:eastAsia="zh-CN"/>
                    </w:rPr>
                    <w:t>主要建设内容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70" w:type="dxa"/>
                  <w:vMerge w:val="restart"/>
                  <w:tcBorders>
                    <w:tl2br w:val="nil"/>
                    <w:tr2bl w:val="nil"/>
                  </w:tcBorders>
                  <w:vAlign w:val="center"/>
                </w:tcPr>
                <w:p>
                  <w:pPr>
                    <w:jc w:val="center"/>
                    <w:rPr>
                      <w:rFonts w:hint="eastAsia" w:ascii="Times New Roman" w:hAnsi="Times New Roman" w:cs="Times New Roman" w:eastAsiaTheme="minorEastAsia"/>
                      <w:color w:val="FF0000"/>
                      <w:szCs w:val="21"/>
                      <w:lang w:eastAsia="zh-CN"/>
                    </w:rPr>
                  </w:pPr>
                  <w:r>
                    <w:rPr>
                      <w:rFonts w:hint="eastAsia" w:ascii="Times New Roman" w:hAnsi="Times New Roman" w:cs="Times New Roman"/>
                      <w:color w:val="FF0000"/>
                      <w:szCs w:val="21"/>
                      <w:lang w:eastAsia="zh-CN"/>
                    </w:rPr>
                    <w:t>主体工程</w:t>
                  </w:r>
                </w:p>
              </w:tc>
              <w:tc>
                <w:tcPr>
                  <w:tcW w:w="2400" w:type="dxa"/>
                  <w:vMerge w:val="restart"/>
                  <w:tcBorders>
                    <w:tl2br w:val="nil"/>
                    <w:tr2bl w:val="nil"/>
                  </w:tcBorders>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rPr>
                    <w:t>消浪工程</w:t>
                  </w:r>
                </w:p>
                <w:p>
                  <w:pPr>
                    <w:jc w:val="center"/>
                    <w:rPr>
                      <w:rFonts w:ascii="Times New Roman" w:hAnsi="Times New Roman" w:cs="Times New Roman"/>
                      <w:color w:val="FF0000"/>
                      <w:szCs w:val="21"/>
                    </w:rPr>
                  </w:pPr>
                  <w:r>
                    <w:rPr>
                      <w:rFonts w:hint="eastAsia" w:ascii="Times New Roman" w:hAnsi="Times New Roman" w:cs="Times New Roman"/>
                      <w:color w:val="FF0000"/>
                      <w:szCs w:val="21"/>
                    </w:rPr>
                    <w:t>（生态管袋潜堤工程）</w:t>
                  </w:r>
                </w:p>
              </w:tc>
              <w:tc>
                <w:tcPr>
                  <w:tcW w:w="4992" w:type="dxa"/>
                  <w:tcBorders>
                    <w:tl2br w:val="nil"/>
                    <w:tr2bl w:val="nil"/>
                  </w:tcBorders>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rPr>
                    <w:t>充填生态管袋工程</w:t>
                  </w:r>
                  <w:r>
                    <w:rPr>
                      <w:rFonts w:hint="eastAsia" w:ascii="Times New Roman" w:hAnsi="Times New Roman" w:cs="Times New Roman"/>
                      <w:color w:val="FF0000"/>
                      <w:szCs w:val="21"/>
                      <w:lang w:val="en-US" w:eastAsia="zh-CN"/>
                    </w:rPr>
                    <w:t>61000</w:t>
                  </w:r>
                  <w:r>
                    <w:rPr>
                      <w:rFonts w:hint="eastAsia" w:ascii="Times New Roman" w:hAnsi="Times New Roman" w:cs="Times New Roman"/>
                      <w:color w:val="FF0000"/>
                      <w:szCs w:val="21"/>
                    </w:rPr>
                    <w:t>m</w:t>
                  </w:r>
                  <w:r>
                    <w:rPr>
                      <w:rFonts w:hint="eastAsia" w:ascii="Times New Roman" w:hAnsi="Times New Roman" w:cs="Times New Roman"/>
                      <w:color w:val="FF0000"/>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70" w:type="dxa"/>
                  <w:vMerge w:val="continue"/>
                  <w:tcBorders>
                    <w:tl2br w:val="nil"/>
                    <w:tr2bl w:val="nil"/>
                  </w:tcBorders>
                  <w:vAlign w:val="center"/>
                </w:tcPr>
                <w:p>
                  <w:pPr>
                    <w:jc w:val="center"/>
                    <w:rPr>
                      <w:rFonts w:ascii="Times New Roman" w:hAnsi="Times New Roman" w:cs="Times New Roman"/>
                      <w:color w:val="FF0000"/>
                      <w:szCs w:val="21"/>
                    </w:rPr>
                  </w:pPr>
                </w:p>
              </w:tc>
              <w:tc>
                <w:tcPr>
                  <w:tcW w:w="2400" w:type="dxa"/>
                  <w:vMerge w:val="continue"/>
                  <w:tcBorders>
                    <w:tl2br w:val="nil"/>
                    <w:tr2bl w:val="nil"/>
                  </w:tcBorders>
                  <w:vAlign w:val="center"/>
                </w:tcPr>
                <w:p>
                  <w:pPr>
                    <w:jc w:val="center"/>
                    <w:rPr>
                      <w:rFonts w:hint="eastAsia" w:ascii="Times New Roman" w:hAnsi="Times New Roman" w:cs="Times New Roman" w:eastAsiaTheme="minorEastAsia"/>
                      <w:color w:val="FF0000"/>
                      <w:szCs w:val="21"/>
                      <w:lang w:eastAsia="zh-CN"/>
                    </w:rPr>
                  </w:pPr>
                </w:p>
              </w:tc>
              <w:tc>
                <w:tcPr>
                  <w:tcW w:w="4992" w:type="dxa"/>
                  <w:tcBorders>
                    <w:tl2br w:val="nil"/>
                    <w:tr2bl w:val="nil"/>
                  </w:tcBorders>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rPr>
                    <w:t>大型生态管袋</w:t>
                  </w:r>
                  <w:r>
                    <w:rPr>
                      <w:rFonts w:hint="eastAsia" w:ascii="Times New Roman" w:hAnsi="Times New Roman" w:cs="Times New Roman"/>
                      <w:color w:val="FF0000"/>
                      <w:szCs w:val="21"/>
                      <w:lang w:val="en-US" w:eastAsia="zh-CN"/>
                    </w:rPr>
                    <w:t>81</w:t>
                  </w:r>
                  <w:r>
                    <w:rPr>
                      <w:rFonts w:hint="eastAsia" w:ascii="Times New Roman" w:hAnsi="Times New Roman" w:cs="Times New Roman"/>
                      <w:color w:val="FF0000"/>
                      <w:szCs w:val="21"/>
                    </w:rPr>
                    <w:t>00m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70" w:type="dxa"/>
                  <w:vMerge w:val="continue"/>
                  <w:tcBorders>
                    <w:tl2br w:val="nil"/>
                    <w:tr2bl w:val="nil"/>
                  </w:tcBorders>
                  <w:vAlign w:val="center"/>
                </w:tcPr>
                <w:p>
                  <w:pPr>
                    <w:jc w:val="center"/>
                    <w:rPr>
                      <w:rFonts w:ascii="Times New Roman" w:hAnsi="Times New Roman" w:cs="Times New Roman"/>
                      <w:color w:val="FF0000"/>
                      <w:szCs w:val="21"/>
                    </w:rPr>
                  </w:pPr>
                </w:p>
              </w:tc>
              <w:tc>
                <w:tcPr>
                  <w:tcW w:w="2400" w:type="dxa"/>
                  <w:tcBorders>
                    <w:tl2br w:val="nil"/>
                    <w:tr2bl w:val="nil"/>
                  </w:tcBorders>
                  <w:vAlign w:val="center"/>
                </w:tcPr>
                <w:p>
                  <w:pPr>
                    <w:jc w:val="center"/>
                    <w:rPr>
                      <w:rFonts w:hint="eastAsia" w:ascii="Times New Roman" w:hAnsi="Times New Roman" w:cs="Times New Roman" w:eastAsiaTheme="minorEastAsia"/>
                      <w:color w:val="FF0000"/>
                      <w:szCs w:val="21"/>
                      <w:lang w:eastAsia="zh-CN"/>
                    </w:rPr>
                  </w:pPr>
                  <w:r>
                    <w:rPr>
                      <w:rFonts w:hint="eastAsia" w:ascii="Times New Roman" w:hAnsi="Times New Roman" w:cs="Times New Roman"/>
                      <w:color w:val="FF0000"/>
                      <w:szCs w:val="21"/>
                    </w:rPr>
                    <w:t>基底修复工程</w:t>
                  </w:r>
                </w:p>
              </w:tc>
              <w:tc>
                <w:tcPr>
                  <w:tcW w:w="4992" w:type="dxa"/>
                  <w:tcBorders>
                    <w:tl2br w:val="nil"/>
                    <w:tr2bl w:val="nil"/>
                  </w:tcBorders>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rPr>
                    <w:t>填土方</w:t>
                  </w:r>
                  <w:r>
                    <w:rPr>
                      <w:rFonts w:hint="eastAsia" w:ascii="Times New Roman" w:hAnsi="Times New Roman" w:cs="Times New Roman"/>
                      <w:color w:val="FF0000"/>
                      <w:szCs w:val="21"/>
                      <w:lang w:val="en-US" w:eastAsia="zh-CN"/>
                    </w:rPr>
                    <w:t>420000</w:t>
                  </w:r>
                  <w:r>
                    <w:rPr>
                      <w:rFonts w:hint="eastAsia" w:ascii="Times New Roman" w:hAnsi="Times New Roman" w:cs="Times New Roman"/>
                      <w:color w:val="FF0000"/>
                      <w:szCs w:val="21"/>
                    </w:rPr>
                    <w:t>m</w:t>
                  </w:r>
                  <w:r>
                    <w:rPr>
                      <w:rFonts w:hint="eastAsia" w:ascii="Times New Roman" w:hAnsi="Times New Roman" w:cs="Times New Roman"/>
                      <w:color w:val="FF0000"/>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70" w:type="dxa"/>
                  <w:vMerge w:val="continue"/>
                  <w:tcBorders>
                    <w:tl2br w:val="nil"/>
                    <w:tr2bl w:val="nil"/>
                  </w:tcBorders>
                  <w:vAlign w:val="center"/>
                </w:tcPr>
                <w:p>
                  <w:pPr>
                    <w:jc w:val="center"/>
                    <w:rPr>
                      <w:rFonts w:ascii="Times New Roman" w:hAnsi="Times New Roman" w:cs="Times New Roman"/>
                      <w:color w:val="FF0000"/>
                      <w:szCs w:val="21"/>
                    </w:rPr>
                  </w:pPr>
                </w:p>
              </w:tc>
              <w:tc>
                <w:tcPr>
                  <w:tcW w:w="2400" w:type="dxa"/>
                  <w:tcBorders>
                    <w:tl2br w:val="nil"/>
                    <w:tr2bl w:val="nil"/>
                  </w:tcBorders>
                  <w:vAlign w:val="center"/>
                </w:tcPr>
                <w:p>
                  <w:pPr>
                    <w:jc w:val="center"/>
                    <w:rPr>
                      <w:rFonts w:hint="eastAsia" w:ascii="Times New Roman" w:hAnsi="Times New Roman" w:cs="Times New Roman" w:eastAsiaTheme="minorEastAsia"/>
                      <w:color w:val="FF0000"/>
                      <w:szCs w:val="21"/>
                      <w:lang w:eastAsia="zh-CN"/>
                    </w:rPr>
                  </w:pPr>
                  <w:r>
                    <w:rPr>
                      <w:rFonts w:hint="eastAsia" w:ascii="Times New Roman" w:hAnsi="Times New Roman" w:cs="Times New Roman"/>
                      <w:color w:val="FF0000"/>
                      <w:szCs w:val="21"/>
                    </w:rPr>
                    <w:t>堤脚保滩促淤工程</w:t>
                  </w:r>
                </w:p>
              </w:tc>
              <w:tc>
                <w:tcPr>
                  <w:tcW w:w="4992" w:type="dxa"/>
                  <w:tcBorders>
                    <w:tl2br w:val="nil"/>
                    <w:tr2bl w:val="nil"/>
                  </w:tcBorders>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rPr>
                    <w:t>填土方</w:t>
                  </w:r>
                  <w:r>
                    <w:rPr>
                      <w:rFonts w:hint="eastAsia" w:ascii="Times New Roman" w:hAnsi="Times New Roman" w:cs="Times New Roman"/>
                      <w:color w:val="FF0000"/>
                      <w:szCs w:val="21"/>
                      <w:lang w:val="en-US" w:eastAsia="zh-CN"/>
                    </w:rPr>
                    <w:t>13000</w:t>
                  </w:r>
                  <w:r>
                    <w:rPr>
                      <w:rFonts w:hint="eastAsia" w:ascii="Times New Roman" w:hAnsi="Times New Roman" w:cs="Times New Roman"/>
                      <w:color w:val="FF0000"/>
                      <w:szCs w:val="21"/>
                    </w:rPr>
                    <w:t>m</w:t>
                  </w:r>
                  <w:r>
                    <w:rPr>
                      <w:rFonts w:hint="eastAsia" w:ascii="Times New Roman" w:hAnsi="Times New Roman" w:cs="Times New Roman"/>
                      <w:color w:val="FF0000"/>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70" w:type="dxa"/>
                  <w:vMerge w:val="continue"/>
                  <w:tcBorders>
                    <w:tl2br w:val="nil"/>
                    <w:tr2bl w:val="nil"/>
                  </w:tcBorders>
                  <w:vAlign w:val="center"/>
                </w:tcPr>
                <w:p>
                  <w:pPr>
                    <w:jc w:val="center"/>
                    <w:rPr>
                      <w:rFonts w:ascii="Times New Roman" w:hAnsi="Times New Roman" w:cs="Times New Roman"/>
                      <w:color w:val="FF0000"/>
                      <w:szCs w:val="21"/>
                    </w:rPr>
                  </w:pPr>
                </w:p>
              </w:tc>
              <w:tc>
                <w:tcPr>
                  <w:tcW w:w="2400" w:type="dxa"/>
                  <w:tcBorders>
                    <w:tl2br w:val="nil"/>
                    <w:tr2bl w:val="nil"/>
                  </w:tcBorders>
                  <w:vAlign w:val="center"/>
                </w:tcPr>
                <w:p>
                  <w:pPr>
                    <w:jc w:val="center"/>
                    <w:rPr>
                      <w:rFonts w:hint="eastAsia" w:ascii="Times New Roman" w:hAnsi="Times New Roman" w:cs="Times New Roman" w:eastAsiaTheme="minorEastAsia"/>
                      <w:color w:val="FF0000"/>
                      <w:szCs w:val="21"/>
                      <w:lang w:eastAsia="zh-CN"/>
                    </w:rPr>
                  </w:pPr>
                  <w:r>
                    <w:rPr>
                      <w:rFonts w:hint="eastAsia" w:ascii="Times New Roman" w:hAnsi="Times New Roman" w:cs="Times New Roman"/>
                      <w:color w:val="FF0000"/>
                      <w:szCs w:val="21"/>
                    </w:rPr>
                    <w:t>生态恢复工程</w:t>
                  </w:r>
                </w:p>
              </w:tc>
              <w:tc>
                <w:tcPr>
                  <w:tcW w:w="4992" w:type="dxa"/>
                  <w:tcBorders>
                    <w:tl2br w:val="nil"/>
                    <w:tr2bl w:val="nil"/>
                  </w:tcBorders>
                  <w:vAlign w:val="center"/>
                </w:tcPr>
                <w:p>
                  <w:pPr>
                    <w:jc w:val="center"/>
                    <w:rPr>
                      <w:rFonts w:hint="eastAsia" w:ascii="Times New Roman" w:hAnsi="Times New Roman" w:cs="Times New Roman" w:eastAsiaTheme="minorEastAsia"/>
                      <w:color w:val="FF0000"/>
                      <w:szCs w:val="21"/>
                      <w:lang w:eastAsia="zh-CN"/>
                    </w:rPr>
                  </w:pPr>
                  <w:r>
                    <w:rPr>
                      <w:rFonts w:hint="eastAsia" w:ascii="Times New Roman" w:hAnsi="Times New Roman" w:cs="Times New Roman"/>
                      <w:color w:val="FF0000"/>
                      <w:szCs w:val="21"/>
                      <w:lang w:eastAsia="zh-CN"/>
                    </w:rPr>
                    <w:t>植被恢复</w:t>
                  </w:r>
                  <w:r>
                    <w:rPr>
                      <w:rFonts w:hint="eastAsia" w:ascii="Times New Roman" w:hAnsi="Times New Roman" w:cs="Times New Roman"/>
                      <w:color w:val="FF0000"/>
                      <w:szCs w:val="21"/>
                      <w:lang w:val="en-US" w:eastAsia="zh-CN"/>
                    </w:rPr>
                    <w:t>400</w:t>
                  </w:r>
                  <w:r>
                    <w:rPr>
                      <w:rFonts w:hint="eastAsia" w:ascii="Times New Roman" w:hAnsi="Times New Roman" w:cs="Times New Roman"/>
                      <w:color w:val="FF0000"/>
                      <w:szCs w:val="21"/>
                    </w:rPr>
                    <w:t>000m</w:t>
                  </w:r>
                  <w:r>
                    <w:rPr>
                      <w:rFonts w:hint="eastAsia" w:ascii="Times New Roman" w:hAnsi="Times New Roman" w:cs="Times New Roman"/>
                      <w:color w:val="FF0000"/>
                      <w:szCs w:val="21"/>
                      <w:vertAlign w:val="superscript"/>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70" w:type="dxa"/>
                  <w:vMerge w:val="restart"/>
                  <w:tcBorders>
                    <w:tl2br w:val="nil"/>
                    <w:tr2bl w:val="nil"/>
                  </w:tcBorders>
                  <w:vAlign w:val="center"/>
                </w:tcPr>
                <w:p>
                  <w:pPr>
                    <w:jc w:val="center"/>
                    <w:rPr>
                      <w:rFonts w:hint="eastAsia" w:ascii="Times New Roman" w:hAnsi="Times New Roman" w:cs="Times New Roman" w:eastAsiaTheme="minorEastAsia"/>
                      <w:color w:val="FF0000"/>
                      <w:szCs w:val="21"/>
                      <w:lang w:eastAsia="zh-CN"/>
                    </w:rPr>
                  </w:pPr>
                  <w:r>
                    <w:rPr>
                      <w:rFonts w:hint="eastAsia" w:ascii="Times New Roman" w:hAnsi="Times New Roman" w:cs="Times New Roman"/>
                      <w:color w:val="FF0000"/>
                      <w:szCs w:val="21"/>
                      <w:lang w:eastAsia="zh-CN"/>
                    </w:rPr>
                    <w:t>公用工程</w:t>
                  </w:r>
                </w:p>
              </w:tc>
              <w:tc>
                <w:tcPr>
                  <w:tcW w:w="2400" w:type="dxa"/>
                  <w:tcBorders>
                    <w:tl2br w:val="nil"/>
                    <w:tr2bl w:val="nil"/>
                  </w:tcBorders>
                  <w:vAlign w:val="center"/>
                </w:tcPr>
                <w:p>
                  <w:pPr>
                    <w:jc w:val="center"/>
                    <w:rPr>
                      <w:rFonts w:hint="eastAsia" w:ascii="Times New Roman" w:hAnsi="Times New Roman" w:cs="Times New Roman"/>
                      <w:color w:val="FF0000"/>
                      <w:szCs w:val="21"/>
                      <w:lang w:val="en-US" w:eastAsia="zh-CN"/>
                    </w:rPr>
                  </w:pPr>
                  <w:r>
                    <w:rPr>
                      <w:rFonts w:hint="eastAsia" w:ascii="Times New Roman" w:hAnsi="Times New Roman" w:cs="Times New Roman"/>
                      <w:color w:val="FF0000"/>
                      <w:szCs w:val="21"/>
                      <w:lang w:val="en-US" w:eastAsia="zh-CN"/>
                    </w:rPr>
                    <w:t>供水系统</w:t>
                  </w:r>
                </w:p>
              </w:tc>
              <w:tc>
                <w:tcPr>
                  <w:tcW w:w="4992" w:type="dxa"/>
                  <w:tcBorders>
                    <w:tl2br w:val="nil"/>
                    <w:tr2bl w:val="nil"/>
                  </w:tcBorders>
                  <w:vAlign w:val="center"/>
                </w:tcPr>
                <w:p>
                  <w:pPr>
                    <w:jc w:val="center"/>
                    <w:rPr>
                      <w:rFonts w:hint="eastAsia" w:ascii="Times New Roman" w:hAnsi="Times New Roman" w:cs="Times New Roman"/>
                      <w:color w:val="FF0000"/>
                      <w:szCs w:val="21"/>
                      <w:lang w:eastAsia="zh-CN"/>
                    </w:rPr>
                  </w:pPr>
                  <w:r>
                    <w:rPr>
                      <w:rFonts w:hint="eastAsia" w:ascii="Times New Roman" w:hAnsi="Times New Roman" w:cs="Times New Roman"/>
                      <w:color w:val="FF0000"/>
                      <w:szCs w:val="21"/>
                      <w:lang w:eastAsia="zh-CN"/>
                    </w:rPr>
                    <w:t>由区域自来水公司供给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70" w:type="dxa"/>
                  <w:vMerge w:val="continue"/>
                  <w:tcBorders>
                    <w:tl2br w:val="nil"/>
                    <w:tr2bl w:val="nil"/>
                  </w:tcBorders>
                  <w:vAlign w:val="center"/>
                </w:tcPr>
                <w:p>
                  <w:pPr>
                    <w:jc w:val="center"/>
                    <w:rPr>
                      <w:rFonts w:hint="eastAsia" w:ascii="Times New Roman" w:hAnsi="Times New Roman" w:cs="Times New Roman"/>
                      <w:color w:val="FF0000"/>
                      <w:szCs w:val="21"/>
                    </w:rPr>
                  </w:pPr>
                </w:p>
              </w:tc>
              <w:tc>
                <w:tcPr>
                  <w:tcW w:w="2400" w:type="dxa"/>
                  <w:tcBorders>
                    <w:tl2br w:val="nil"/>
                    <w:tr2bl w:val="nil"/>
                  </w:tcBorders>
                  <w:vAlign w:val="center"/>
                </w:tcPr>
                <w:p>
                  <w:pPr>
                    <w:jc w:val="center"/>
                    <w:rPr>
                      <w:rFonts w:hint="eastAsia" w:ascii="Times New Roman" w:hAnsi="Times New Roman" w:cs="Times New Roman"/>
                      <w:color w:val="FF0000"/>
                      <w:szCs w:val="21"/>
                      <w:lang w:val="en-US" w:eastAsia="zh-CN"/>
                    </w:rPr>
                  </w:pPr>
                  <w:r>
                    <w:rPr>
                      <w:rFonts w:hint="eastAsia" w:ascii="Times New Roman" w:hAnsi="Times New Roman" w:cs="Times New Roman"/>
                      <w:color w:val="FF0000"/>
                      <w:szCs w:val="21"/>
                      <w:lang w:val="en-US" w:eastAsia="zh-CN"/>
                    </w:rPr>
                    <w:t>排水系统</w:t>
                  </w:r>
                </w:p>
              </w:tc>
              <w:tc>
                <w:tcPr>
                  <w:tcW w:w="4992" w:type="dxa"/>
                  <w:tcBorders>
                    <w:tl2br w:val="nil"/>
                    <w:tr2bl w:val="nil"/>
                  </w:tcBorders>
                  <w:vAlign w:val="center"/>
                </w:tcPr>
                <w:p>
                  <w:pPr>
                    <w:jc w:val="center"/>
                    <w:rPr>
                      <w:rFonts w:hint="eastAsia" w:ascii="Times New Roman" w:hAnsi="Times New Roman" w:cs="Times New Roman"/>
                      <w:color w:val="FF0000"/>
                      <w:szCs w:val="21"/>
                      <w:lang w:eastAsia="zh-CN"/>
                    </w:rPr>
                  </w:pPr>
                  <w:r>
                    <w:rPr>
                      <w:rFonts w:hint="eastAsia" w:ascii="Times New Roman" w:hAnsi="Times New Roman" w:cs="Times New Roman"/>
                      <w:color w:val="FF0000"/>
                      <w:szCs w:val="21"/>
                      <w:lang w:eastAsia="zh-CN"/>
                    </w:rPr>
                    <w:t>施工人员的生活污水（</w:t>
                  </w:r>
                  <w:r>
                    <w:rPr>
                      <w:rFonts w:hint="eastAsia" w:ascii="Times New Roman" w:hAnsi="Times New Roman" w:cs="Times New Roman"/>
                      <w:color w:val="FF0000"/>
                      <w:szCs w:val="21"/>
                      <w:lang w:val="en-US" w:eastAsia="zh-CN"/>
                    </w:rPr>
                    <w:t>392m</w:t>
                  </w:r>
                  <w:r>
                    <w:rPr>
                      <w:rFonts w:hint="eastAsia" w:ascii="Times New Roman" w:hAnsi="Times New Roman" w:cs="Times New Roman"/>
                      <w:color w:val="FF0000"/>
                      <w:szCs w:val="21"/>
                      <w:vertAlign w:val="superscript"/>
                      <w:lang w:val="en-US" w:eastAsia="zh-CN"/>
                    </w:rPr>
                    <w:t>3</w:t>
                  </w:r>
                  <w:r>
                    <w:rPr>
                      <w:rFonts w:hint="eastAsia" w:ascii="Times New Roman" w:hAnsi="Times New Roman" w:cs="Times New Roman"/>
                      <w:color w:val="FF0000"/>
                      <w:szCs w:val="21"/>
                      <w:lang w:eastAsia="zh-CN"/>
                    </w:rPr>
                    <w:t>）利用就近的原有卫生设施处理后达标接管至宜兴市华骐污水处理厂深度处理；施工废水经自建沉淀池预处理后排污区域污水截流系统或进行回收利用、用于洒水降尘。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70" w:type="dxa"/>
                  <w:vMerge w:val="continue"/>
                  <w:tcBorders>
                    <w:tl2br w:val="nil"/>
                    <w:tr2bl w:val="nil"/>
                  </w:tcBorders>
                  <w:vAlign w:val="center"/>
                </w:tcPr>
                <w:p>
                  <w:pPr>
                    <w:jc w:val="center"/>
                    <w:rPr>
                      <w:rFonts w:hint="eastAsia" w:ascii="Times New Roman" w:hAnsi="Times New Roman" w:cs="Times New Roman"/>
                      <w:color w:val="FF0000"/>
                      <w:szCs w:val="21"/>
                    </w:rPr>
                  </w:pPr>
                </w:p>
              </w:tc>
              <w:tc>
                <w:tcPr>
                  <w:tcW w:w="2400" w:type="dxa"/>
                  <w:tcBorders>
                    <w:tl2br w:val="nil"/>
                    <w:tr2bl w:val="nil"/>
                  </w:tcBorders>
                  <w:vAlign w:val="center"/>
                </w:tcPr>
                <w:p>
                  <w:pPr>
                    <w:jc w:val="center"/>
                    <w:rPr>
                      <w:rFonts w:hint="eastAsia" w:ascii="Times New Roman" w:hAnsi="Times New Roman" w:cs="Times New Roman"/>
                      <w:color w:val="FF0000"/>
                      <w:szCs w:val="21"/>
                      <w:lang w:val="en-US" w:eastAsia="zh-CN"/>
                    </w:rPr>
                  </w:pPr>
                  <w:r>
                    <w:rPr>
                      <w:rFonts w:hint="eastAsia" w:ascii="Times New Roman" w:hAnsi="Times New Roman" w:cs="Times New Roman"/>
                      <w:color w:val="FF0000"/>
                      <w:szCs w:val="21"/>
                      <w:lang w:val="en-US" w:eastAsia="zh-CN"/>
                    </w:rPr>
                    <w:t>供电系统</w:t>
                  </w:r>
                </w:p>
              </w:tc>
              <w:tc>
                <w:tcPr>
                  <w:tcW w:w="4992" w:type="dxa"/>
                  <w:tcBorders>
                    <w:tl2br w:val="nil"/>
                    <w:tr2bl w:val="nil"/>
                  </w:tcBorders>
                  <w:vAlign w:val="center"/>
                </w:tcPr>
                <w:p>
                  <w:pPr>
                    <w:jc w:val="center"/>
                    <w:rPr>
                      <w:rFonts w:hint="eastAsia" w:ascii="Times New Roman" w:hAnsi="Times New Roman" w:cs="Times New Roman"/>
                      <w:color w:val="FF0000"/>
                      <w:szCs w:val="21"/>
                      <w:lang w:eastAsia="zh-CN"/>
                    </w:rPr>
                  </w:pPr>
                  <w:r>
                    <w:rPr>
                      <w:rFonts w:hint="eastAsia" w:ascii="Times New Roman" w:hAnsi="Times New Roman" w:cs="Times New Roman"/>
                      <w:color w:val="FF0000"/>
                      <w:szCs w:val="21"/>
                      <w:lang w:eastAsia="zh-CN"/>
                    </w:rPr>
                    <w:t>由市政电网供应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70" w:type="dxa"/>
                  <w:vMerge w:val="restart"/>
                  <w:tcBorders>
                    <w:tl2br w:val="nil"/>
                    <w:tr2bl w:val="nil"/>
                  </w:tcBorders>
                  <w:vAlign w:val="center"/>
                </w:tcPr>
                <w:p>
                  <w:pPr>
                    <w:jc w:val="center"/>
                    <w:rPr>
                      <w:rFonts w:hint="eastAsia" w:ascii="Times New Roman" w:hAnsi="Times New Roman" w:cs="Times New Roman"/>
                      <w:color w:val="FF0000"/>
                      <w:szCs w:val="21"/>
                      <w:lang w:eastAsia="zh-CN"/>
                    </w:rPr>
                  </w:pPr>
                  <w:r>
                    <w:rPr>
                      <w:rFonts w:hint="eastAsia" w:ascii="Times New Roman" w:hAnsi="Times New Roman" w:cs="Times New Roman"/>
                      <w:color w:val="FF0000"/>
                      <w:szCs w:val="21"/>
                      <w:lang w:eastAsia="zh-CN"/>
                    </w:rPr>
                    <w:t>环保工程</w:t>
                  </w:r>
                </w:p>
              </w:tc>
              <w:tc>
                <w:tcPr>
                  <w:tcW w:w="2400" w:type="dxa"/>
                  <w:tcBorders>
                    <w:tl2br w:val="nil"/>
                    <w:tr2bl w:val="nil"/>
                  </w:tcBorders>
                  <w:vAlign w:val="center"/>
                </w:tcPr>
                <w:p>
                  <w:pPr>
                    <w:jc w:val="center"/>
                    <w:rPr>
                      <w:rFonts w:hint="eastAsia" w:ascii="Times New Roman" w:hAnsi="Times New Roman" w:cs="Times New Roman"/>
                      <w:color w:val="FF0000"/>
                      <w:szCs w:val="21"/>
                      <w:lang w:val="en-US" w:eastAsia="zh-CN"/>
                    </w:rPr>
                  </w:pPr>
                  <w:r>
                    <w:rPr>
                      <w:rFonts w:hint="eastAsia" w:ascii="Times New Roman" w:hAnsi="Times New Roman" w:cs="Times New Roman"/>
                      <w:color w:val="FF0000"/>
                      <w:szCs w:val="21"/>
                      <w:lang w:val="en-US" w:eastAsia="zh-CN"/>
                    </w:rPr>
                    <w:t>废水处理</w:t>
                  </w:r>
                </w:p>
              </w:tc>
              <w:tc>
                <w:tcPr>
                  <w:tcW w:w="4992" w:type="dxa"/>
                  <w:tcBorders>
                    <w:tl2br w:val="nil"/>
                    <w:tr2bl w:val="nil"/>
                  </w:tcBorders>
                  <w:vAlign w:val="center"/>
                </w:tcPr>
                <w:p>
                  <w:pPr>
                    <w:jc w:val="center"/>
                    <w:rPr>
                      <w:rFonts w:hint="eastAsia" w:ascii="Times New Roman" w:hAnsi="Times New Roman" w:cs="Times New Roman"/>
                      <w:color w:val="FF0000"/>
                      <w:szCs w:val="21"/>
                      <w:lang w:eastAsia="zh-CN"/>
                    </w:rPr>
                  </w:pPr>
                  <w:r>
                    <w:rPr>
                      <w:rFonts w:hint="eastAsia" w:ascii="Times New Roman" w:hAnsi="Times New Roman" w:cs="Times New Roman"/>
                      <w:color w:val="FF0000"/>
                      <w:szCs w:val="21"/>
                      <w:lang w:eastAsia="zh-CN"/>
                    </w:rPr>
                    <w:t>施工人员的生活污水利用就近的原有卫生设施处理后达标接管至宜兴市华骐污水处理厂深度处理；施工废水经自建沉淀池预处理后排污区域污水截流系统或进行回收利用、用于洒水降尘。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70" w:type="dxa"/>
                  <w:vMerge w:val="continue"/>
                  <w:tcBorders>
                    <w:tl2br w:val="nil"/>
                    <w:tr2bl w:val="nil"/>
                  </w:tcBorders>
                  <w:vAlign w:val="center"/>
                </w:tcPr>
                <w:p>
                  <w:pPr>
                    <w:jc w:val="center"/>
                    <w:rPr>
                      <w:rFonts w:hint="eastAsia" w:ascii="Times New Roman" w:hAnsi="Times New Roman" w:cs="Times New Roman"/>
                      <w:color w:val="FF0000"/>
                      <w:szCs w:val="21"/>
                    </w:rPr>
                  </w:pPr>
                </w:p>
              </w:tc>
              <w:tc>
                <w:tcPr>
                  <w:tcW w:w="2400" w:type="dxa"/>
                  <w:tcBorders>
                    <w:tl2br w:val="nil"/>
                    <w:tr2bl w:val="nil"/>
                  </w:tcBorders>
                  <w:vAlign w:val="center"/>
                </w:tcPr>
                <w:p>
                  <w:pPr>
                    <w:jc w:val="center"/>
                    <w:rPr>
                      <w:rFonts w:hint="eastAsia" w:ascii="Times New Roman" w:hAnsi="Times New Roman" w:cs="Times New Roman"/>
                      <w:color w:val="FF0000"/>
                      <w:szCs w:val="21"/>
                      <w:lang w:val="en-US" w:eastAsia="zh-CN"/>
                    </w:rPr>
                  </w:pPr>
                  <w:r>
                    <w:rPr>
                      <w:rFonts w:hint="eastAsia" w:ascii="Times New Roman" w:hAnsi="Times New Roman" w:cs="Times New Roman"/>
                      <w:color w:val="FF0000"/>
                      <w:szCs w:val="21"/>
                      <w:lang w:val="en-US" w:eastAsia="zh-CN"/>
                    </w:rPr>
                    <w:t>废气处理</w:t>
                  </w:r>
                </w:p>
              </w:tc>
              <w:tc>
                <w:tcPr>
                  <w:tcW w:w="4992" w:type="dxa"/>
                  <w:tcBorders>
                    <w:tl2br w:val="nil"/>
                    <w:tr2bl w:val="nil"/>
                  </w:tcBorders>
                  <w:vAlign w:val="center"/>
                </w:tcPr>
                <w:p>
                  <w:pPr>
                    <w:jc w:val="center"/>
                    <w:rPr>
                      <w:rFonts w:hint="eastAsia" w:ascii="Times New Roman" w:hAnsi="Times New Roman" w:cs="Times New Roman"/>
                      <w:color w:val="FF0000"/>
                      <w:szCs w:val="21"/>
                      <w:lang w:eastAsia="zh-CN"/>
                    </w:rPr>
                  </w:pPr>
                  <w:r>
                    <w:rPr>
                      <w:rFonts w:hint="eastAsia" w:ascii="Times New Roman" w:hAnsi="Times New Roman" w:cs="Times New Roman"/>
                      <w:color w:val="FF0000"/>
                      <w:szCs w:val="21"/>
                      <w:lang w:eastAsia="zh-CN"/>
                    </w:rPr>
                    <w:t>施工扬尘经施工单位设置围挡降低粉尘量，加强管理，减少车辆滞留时间，清除的淤泥及时利用。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70" w:type="dxa"/>
                  <w:vMerge w:val="continue"/>
                  <w:tcBorders>
                    <w:tl2br w:val="nil"/>
                    <w:tr2bl w:val="nil"/>
                  </w:tcBorders>
                  <w:vAlign w:val="center"/>
                </w:tcPr>
                <w:p>
                  <w:pPr>
                    <w:jc w:val="center"/>
                    <w:rPr>
                      <w:rFonts w:hint="eastAsia" w:ascii="Times New Roman" w:hAnsi="Times New Roman" w:cs="Times New Roman"/>
                      <w:color w:val="FF0000"/>
                      <w:szCs w:val="21"/>
                    </w:rPr>
                  </w:pPr>
                </w:p>
              </w:tc>
              <w:tc>
                <w:tcPr>
                  <w:tcW w:w="2400" w:type="dxa"/>
                  <w:tcBorders>
                    <w:tl2br w:val="nil"/>
                    <w:tr2bl w:val="nil"/>
                  </w:tcBorders>
                  <w:vAlign w:val="center"/>
                </w:tcPr>
                <w:p>
                  <w:pPr>
                    <w:jc w:val="center"/>
                    <w:rPr>
                      <w:rFonts w:hint="eastAsia" w:ascii="Times New Roman" w:hAnsi="Times New Roman" w:cs="Times New Roman"/>
                      <w:color w:val="FF0000"/>
                      <w:szCs w:val="21"/>
                      <w:lang w:val="en-US" w:eastAsia="zh-CN"/>
                    </w:rPr>
                  </w:pPr>
                  <w:r>
                    <w:rPr>
                      <w:rFonts w:hint="eastAsia" w:ascii="Times New Roman" w:hAnsi="Times New Roman" w:cs="Times New Roman"/>
                      <w:color w:val="FF0000"/>
                      <w:szCs w:val="21"/>
                      <w:lang w:val="en-US" w:eastAsia="zh-CN"/>
                    </w:rPr>
                    <w:t>固废处理</w:t>
                  </w:r>
                </w:p>
              </w:tc>
              <w:tc>
                <w:tcPr>
                  <w:tcW w:w="4992" w:type="dxa"/>
                  <w:tcBorders>
                    <w:tl2br w:val="nil"/>
                    <w:tr2bl w:val="nil"/>
                  </w:tcBorders>
                  <w:vAlign w:val="center"/>
                </w:tcPr>
                <w:p>
                  <w:pPr>
                    <w:jc w:val="center"/>
                    <w:rPr>
                      <w:rFonts w:hint="eastAsia" w:ascii="Times New Roman" w:hAnsi="Times New Roman" w:cs="Times New Roman"/>
                      <w:color w:val="FF0000"/>
                      <w:szCs w:val="21"/>
                      <w:lang w:eastAsia="zh-CN"/>
                    </w:rPr>
                  </w:pPr>
                  <w:r>
                    <w:rPr>
                      <w:rFonts w:hint="eastAsia" w:ascii="Times New Roman" w:hAnsi="Times New Roman" w:cs="Times New Roman"/>
                      <w:color w:val="FF0000"/>
                      <w:szCs w:val="21"/>
                      <w:lang w:eastAsia="zh-CN"/>
                    </w:rPr>
                    <w:t>施工人员产生的生活垃圾经收集后交附近环卫处统一处理；产生的淤泥经收集后回填用于基底修复工程，不排放。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70" w:type="dxa"/>
                  <w:vMerge w:val="continue"/>
                  <w:tcBorders>
                    <w:tl2br w:val="nil"/>
                    <w:tr2bl w:val="nil"/>
                  </w:tcBorders>
                  <w:vAlign w:val="center"/>
                </w:tcPr>
                <w:p>
                  <w:pPr>
                    <w:jc w:val="center"/>
                    <w:rPr>
                      <w:rFonts w:hint="eastAsia" w:ascii="Times New Roman" w:hAnsi="Times New Roman" w:cs="Times New Roman"/>
                      <w:color w:val="FF0000"/>
                      <w:szCs w:val="21"/>
                    </w:rPr>
                  </w:pPr>
                </w:p>
              </w:tc>
              <w:tc>
                <w:tcPr>
                  <w:tcW w:w="2400" w:type="dxa"/>
                  <w:tcBorders>
                    <w:tl2br w:val="nil"/>
                    <w:tr2bl w:val="nil"/>
                  </w:tcBorders>
                  <w:vAlign w:val="center"/>
                </w:tcPr>
                <w:p>
                  <w:pPr>
                    <w:jc w:val="center"/>
                    <w:rPr>
                      <w:rFonts w:hint="eastAsia" w:ascii="Times New Roman" w:hAnsi="Times New Roman" w:cs="Times New Roman"/>
                      <w:color w:val="FF0000"/>
                      <w:szCs w:val="21"/>
                      <w:lang w:val="en-US" w:eastAsia="zh-CN"/>
                    </w:rPr>
                  </w:pPr>
                  <w:r>
                    <w:rPr>
                      <w:rFonts w:hint="eastAsia" w:ascii="Times New Roman" w:hAnsi="Times New Roman" w:cs="Times New Roman"/>
                      <w:color w:val="FF0000"/>
                      <w:szCs w:val="21"/>
                      <w:lang w:val="en-US" w:eastAsia="zh-CN"/>
                    </w:rPr>
                    <w:t>噪声处理</w:t>
                  </w:r>
                </w:p>
              </w:tc>
              <w:tc>
                <w:tcPr>
                  <w:tcW w:w="4992" w:type="dxa"/>
                  <w:tcBorders>
                    <w:tl2br w:val="nil"/>
                    <w:tr2bl w:val="nil"/>
                  </w:tcBorders>
                  <w:vAlign w:val="center"/>
                </w:tcPr>
                <w:p>
                  <w:pPr>
                    <w:jc w:val="center"/>
                    <w:rPr>
                      <w:rFonts w:hint="eastAsia" w:ascii="Times New Roman" w:hAnsi="Times New Roman" w:cs="Times New Roman"/>
                      <w:color w:val="FF0000"/>
                      <w:szCs w:val="21"/>
                      <w:lang w:eastAsia="zh-CN"/>
                    </w:rPr>
                  </w:pPr>
                  <w:r>
                    <w:rPr>
                      <w:rFonts w:hint="eastAsia" w:ascii="Times New Roman" w:hAnsi="Times New Roman" w:cs="Times New Roman"/>
                      <w:color w:val="FF0000"/>
                      <w:szCs w:val="21"/>
                      <w:lang w:eastAsia="zh-CN"/>
                    </w:rPr>
                    <w:t>加强施工管理，合理安排施工时间，采用低噪声施工机械，注意日常维护和保养，合理布局施工设备，设置彩钢板围挡进行降噪，控制来往施工车辆，做好施工人员的噪声防护</w:t>
                  </w:r>
                </w:p>
              </w:tc>
            </w:tr>
          </w:tbl>
          <w:p>
            <w:pPr>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rPr>
              <w:t>7、劳动定员及工作制度：本项目施工人数约35人，白班制，每班工作8小时。</w:t>
            </w:r>
          </w:p>
          <w:p>
            <w:pPr>
              <w:spacing w:line="360" w:lineRule="auto"/>
              <w:ind w:firstLine="480" w:firstLineChars="200"/>
              <w:rPr>
                <w:rFonts w:ascii="Times New Roman" w:hAnsi="Times New Roman" w:eastAsia="宋体" w:cs="Times New Roman"/>
                <w:color w:val="FF0000"/>
                <w:sz w:val="24"/>
              </w:rPr>
            </w:pPr>
            <w:r>
              <w:rPr>
                <w:rFonts w:hint="eastAsia" w:ascii="Times New Roman" w:hAnsi="Times New Roman" w:eastAsia="宋体" w:cs="Times New Roman"/>
                <w:color w:val="FF0000"/>
                <w:sz w:val="24"/>
              </w:rPr>
              <w:t>8、建设进度：本项目</w:t>
            </w:r>
            <w:r>
              <w:rPr>
                <w:rFonts w:hint="eastAsia" w:ascii="Times New Roman" w:hAnsi="Times New Roman" w:eastAsia="宋体" w:cs="Times New Roman"/>
                <w:color w:val="FF0000"/>
                <w:sz w:val="24"/>
                <w:lang w:eastAsia="zh-CN"/>
              </w:rPr>
              <w:t>建设分两期建设</w:t>
            </w:r>
            <w:r>
              <w:rPr>
                <w:rFonts w:hint="eastAsia" w:ascii="Times New Roman" w:hAnsi="Times New Roman" w:eastAsia="宋体" w:cs="Times New Roman"/>
                <w:color w:val="FF0000"/>
                <w:sz w:val="24"/>
              </w:rPr>
              <w:t>。</w:t>
            </w:r>
            <w:r>
              <w:rPr>
                <w:rFonts w:hint="eastAsia" w:ascii="Times New Roman" w:hAnsi="Times New Roman" w:eastAsia="宋体" w:cs="Times New Roman"/>
                <w:color w:val="FF0000"/>
                <w:sz w:val="24"/>
                <w:lang w:eastAsia="zh-CN"/>
              </w:rPr>
              <w:t>一期：</w:t>
            </w:r>
            <w:r>
              <w:rPr>
                <w:rFonts w:hint="eastAsia" w:ascii="Times New Roman" w:hAnsi="Times New Roman" w:eastAsia="宋体" w:cs="Times New Roman"/>
                <w:color w:val="FF0000"/>
                <w:sz w:val="24"/>
              </w:rPr>
              <w:t>201</w:t>
            </w:r>
            <w:r>
              <w:rPr>
                <w:rFonts w:hint="eastAsia" w:ascii="Times New Roman" w:hAnsi="Times New Roman" w:eastAsia="宋体" w:cs="Times New Roman"/>
                <w:color w:val="FF0000"/>
                <w:sz w:val="24"/>
                <w:lang w:val="en-US" w:eastAsia="zh-CN"/>
              </w:rPr>
              <w:t>8</w:t>
            </w:r>
            <w:r>
              <w:rPr>
                <w:rFonts w:hint="eastAsia" w:ascii="Times New Roman" w:hAnsi="Times New Roman" w:eastAsia="宋体" w:cs="Times New Roman"/>
                <w:color w:val="FF0000"/>
                <w:sz w:val="24"/>
              </w:rPr>
              <w:t>年</w:t>
            </w:r>
            <w:r>
              <w:rPr>
                <w:rFonts w:hint="eastAsia" w:ascii="Times New Roman" w:hAnsi="Times New Roman" w:eastAsia="宋体" w:cs="Times New Roman"/>
                <w:color w:val="FF0000"/>
                <w:sz w:val="24"/>
                <w:lang w:val="en-US" w:eastAsia="zh-CN"/>
              </w:rPr>
              <w:t>3</w:t>
            </w:r>
            <w:r>
              <w:rPr>
                <w:rFonts w:hint="eastAsia" w:ascii="Times New Roman" w:hAnsi="Times New Roman" w:eastAsia="宋体" w:cs="Times New Roman"/>
                <w:color w:val="FF0000"/>
                <w:sz w:val="24"/>
              </w:rPr>
              <w:t>月至201</w:t>
            </w:r>
            <w:r>
              <w:rPr>
                <w:rFonts w:hint="eastAsia" w:ascii="Times New Roman" w:hAnsi="Times New Roman" w:eastAsia="宋体" w:cs="Times New Roman"/>
                <w:color w:val="FF0000"/>
                <w:sz w:val="24"/>
                <w:lang w:val="en-US" w:eastAsia="zh-CN"/>
              </w:rPr>
              <w:t>8</w:t>
            </w:r>
            <w:r>
              <w:rPr>
                <w:rFonts w:hint="eastAsia" w:ascii="Times New Roman" w:hAnsi="Times New Roman" w:eastAsia="宋体" w:cs="Times New Roman"/>
                <w:color w:val="FF0000"/>
                <w:sz w:val="24"/>
              </w:rPr>
              <w:t>年</w:t>
            </w:r>
            <w:r>
              <w:rPr>
                <w:rFonts w:hint="eastAsia" w:ascii="Times New Roman" w:hAnsi="Times New Roman" w:eastAsia="宋体" w:cs="Times New Roman"/>
                <w:color w:val="FF0000"/>
                <w:sz w:val="24"/>
                <w:lang w:val="en-US" w:eastAsia="zh-CN"/>
              </w:rPr>
              <w:t>5</w:t>
            </w:r>
            <w:r>
              <w:rPr>
                <w:rFonts w:hint="eastAsia" w:ascii="Times New Roman" w:hAnsi="Times New Roman" w:eastAsia="宋体" w:cs="Times New Roman"/>
                <w:color w:val="FF0000"/>
                <w:sz w:val="24"/>
              </w:rPr>
              <w:t>月为第一个实施周期</w:t>
            </w:r>
            <w:r>
              <w:rPr>
                <w:rFonts w:hint="eastAsia" w:ascii="Times New Roman" w:hAnsi="Times New Roman" w:eastAsia="宋体" w:cs="Times New Roman"/>
                <w:color w:val="FF0000"/>
                <w:sz w:val="24"/>
                <w:lang w:eastAsia="zh-CN"/>
              </w:rPr>
              <w:t>，完成总工量的</w:t>
            </w:r>
            <w:r>
              <w:rPr>
                <w:rFonts w:hint="eastAsia" w:ascii="Times New Roman" w:hAnsi="Times New Roman" w:eastAsia="宋体" w:cs="Times New Roman"/>
                <w:color w:val="FF0000"/>
                <w:sz w:val="24"/>
                <w:lang w:val="en-US" w:eastAsia="zh-CN"/>
              </w:rPr>
              <w:t>35%</w:t>
            </w:r>
            <w:r>
              <w:rPr>
                <w:rFonts w:hint="eastAsia" w:ascii="Times New Roman" w:hAnsi="Times New Roman" w:eastAsia="宋体" w:cs="Times New Roman"/>
                <w:color w:val="FF0000"/>
                <w:sz w:val="24"/>
              </w:rPr>
              <w:t>；2018年</w:t>
            </w:r>
            <w:r>
              <w:rPr>
                <w:rFonts w:hint="eastAsia" w:ascii="Times New Roman" w:hAnsi="Times New Roman" w:eastAsia="宋体" w:cs="Times New Roman"/>
                <w:color w:val="FF0000"/>
                <w:sz w:val="24"/>
                <w:lang w:val="en-US" w:eastAsia="zh-CN"/>
              </w:rPr>
              <w:t>10</w:t>
            </w:r>
            <w:r>
              <w:rPr>
                <w:rFonts w:hint="eastAsia" w:ascii="Times New Roman" w:hAnsi="Times New Roman" w:eastAsia="宋体" w:cs="Times New Roman"/>
                <w:color w:val="FF0000"/>
                <w:sz w:val="24"/>
              </w:rPr>
              <w:t>月至20</w:t>
            </w:r>
            <w:r>
              <w:rPr>
                <w:rFonts w:hint="eastAsia" w:ascii="Times New Roman" w:hAnsi="Times New Roman" w:eastAsia="宋体" w:cs="Times New Roman"/>
                <w:color w:val="FF0000"/>
                <w:sz w:val="24"/>
                <w:lang w:val="en-US" w:eastAsia="zh-CN"/>
              </w:rPr>
              <w:t>19</w:t>
            </w:r>
            <w:r>
              <w:rPr>
                <w:rFonts w:hint="eastAsia" w:ascii="Times New Roman" w:hAnsi="Times New Roman" w:eastAsia="宋体" w:cs="Times New Roman"/>
                <w:color w:val="FF0000"/>
                <w:sz w:val="24"/>
              </w:rPr>
              <w:t>年</w:t>
            </w:r>
            <w:r>
              <w:rPr>
                <w:rFonts w:hint="eastAsia" w:ascii="Times New Roman" w:hAnsi="Times New Roman" w:eastAsia="宋体" w:cs="Times New Roman"/>
                <w:color w:val="FF0000"/>
                <w:sz w:val="24"/>
                <w:lang w:val="en-US" w:eastAsia="zh-CN"/>
              </w:rPr>
              <w:t>4</w:t>
            </w:r>
            <w:r>
              <w:rPr>
                <w:rFonts w:hint="eastAsia" w:ascii="Times New Roman" w:hAnsi="Times New Roman" w:eastAsia="宋体" w:cs="Times New Roman"/>
                <w:color w:val="FF0000"/>
                <w:sz w:val="24"/>
              </w:rPr>
              <w:t>月为第二个实施周期</w:t>
            </w:r>
            <w:r>
              <w:rPr>
                <w:rFonts w:hint="eastAsia" w:ascii="Times New Roman" w:hAnsi="Times New Roman" w:eastAsia="宋体" w:cs="Times New Roman"/>
                <w:color w:val="FF0000"/>
                <w:sz w:val="24"/>
                <w:lang w:eastAsia="zh-CN"/>
              </w:rPr>
              <w:t>，完成总工量的</w:t>
            </w:r>
            <w:r>
              <w:rPr>
                <w:rFonts w:hint="eastAsia" w:ascii="Times New Roman" w:hAnsi="Times New Roman" w:eastAsia="宋体" w:cs="Times New Roman"/>
                <w:color w:val="FF0000"/>
                <w:sz w:val="24"/>
                <w:lang w:val="en-US" w:eastAsia="zh-CN"/>
              </w:rPr>
              <w:t>65%</w:t>
            </w:r>
            <w:r>
              <w:rPr>
                <w:rFonts w:hint="eastAsia" w:ascii="Times New Roman" w:hAnsi="Times New Roman" w:eastAsia="宋体" w:cs="Times New Roman"/>
                <w:color w:val="FF0000"/>
                <w:sz w:val="24"/>
              </w:rPr>
              <w:t>。本项目暂未开工建设。</w:t>
            </w:r>
          </w:p>
          <w:p>
            <w:pPr>
              <w:spacing w:line="360" w:lineRule="auto"/>
              <w:ind w:firstLine="482" w:firstLineChars="200"/>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rPr>
              <w:t>三、产业政策相符性</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经查实，本项目符合中华人民共和国发展和改革委员会2013年第21号发布的《产业结构调整指导目录（2011年本）（修订）》</w:t>
            </w:r>
            <w:r>
              <w:rPr>
                <w:rFonts w:hint="eastAsia" w:ascii="Times New Roman" w:hAnsi="Times New Roman" w:cs="Times New Roman"/>
                <w:color w:val="auto"/>
                <w:sz w:val="24"/>
              </w:rPr>
              <w:t>“</w:t>
            </w:r>
            <w:r>
              <w:rPr>
                <w:rFonts w:ascii="Times New Roman" w:hAnsi="Times New Roman" w:cs="Times New Roman"/>
                <w:color w:val="auto"/>
                <w:sz w:val="24"/>
              </w:rPr>
              <w:t>鼓励类</w:t>
            </w:r>
            <w:r>
              <w:rPr>
                <w:rFonts w:hint="eastAsia" w:ascii="Times New Roman" w:hAnsi="Times New Roman" w:cs="Times New Roman"/>
                <w:color w:val="auto"/>
                <w:sz w:val="24"/>
              </w:rPr>
              <w:t>”</w:t>
            </w:r>
            <w:r>
              <w:rPr>
                <w:rFonts w:ascii="Times New Roman" w:hAnsi="Times New Roman" w:cs="Times New Roman"/>
                <w:color w:val="auto"/>
                <w:sz w:val="24"/>
              </w:rPr>
              <w:t>中的</w:t>
            </w:r>
            <w:r>
              <w:rPr>
                <w:rFonts w:hint="eastAsia" w:ascii="Times New Roman" w:hAnsi="Times New Roman" w:cs="Times New Roman"/>
                <w:color w:val="auto"/>
                <w:sz w:val="24"/>
              </w:rPr>
              <w:t>“</w:t>
            </w:r>
            <w:r>
              <w:rPr>
                <w:rFonts w:ascii="Times New Roman" w:hAnsi="Times New Roman" w:cs="Times New Roman"/>
                <w:color w:val="auto"/>
                <w:sz w:val="24"/>
              </w:rPr>
              <w:t>江河堤防建设及河道、水库治理工程</w:t>
            </w:r>
            <w:r>
              <w:rPr>
                <w:rFonts w:hint="eastAsia" w:ascii="Times New Roman" w:hAnsi="Times New Roman" w:cs="Times New Roman"/>
                <w:color w:val="auto"/>
                <w:sz w:val="24"/>
              </w:rPr>
              <w:t>”，为国家和地方鼓励的项目。符合国家产业政策。</w:t>
            </w:r>
          </w:p>
          <w:p>
            <w:pPr>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rPr>
              <w:t>本项目不属于江苏省人民政府2013年3月15日修正的《江苏省工业和信息产业结构调整指导目录（2012年本）》中的限制类和淘汰类，属于允许类；属于《无锡市产业结构调整指导目录（试行）》（锡政办发[2008]6号）中规定的鼓励类中“城市防洪工程、水环境及河道综合整治”项目，属于《宜兴市产业导向目录（2008年修订）》“城市防洪工程、水环境及河道综合整治”。符合地方产业政策。</w:t>
            </w:r>
          </w:p>
          <w:p>
            <w:pPr>
              <w:spacing w:line="360" w:lineRule="auto"/>
              <w:ind w:firstLine="480" w:firstLineChars="200"/>
              <w:rPr>
                <w:rFonts w:ascii="宋体" w:hAnsi="宋体" w:eastAsia="宋体"/>
                <w:color w:val="auto"/>
                <w:sz w:val="24"/>
              </w:rPr>
            </w:pPr>
            <w:r>
              <w:rPr>
                <w:rFonts w:hint="eastAsia" w:ascii="宋体" w:hAnsi="宋体" w:eastAsia="宋体"/>
                <w:color w:val="auto"/>
                <w:sz w:val="24"/>
              </w:rPr>
              <w:t>经查，本项目不属于太湖流域一级保护区禁止项目，符合《江苏省太湖水污染防治条例》（修正）（江苏省人民代表大会常务委员会公告第</w:t>
            </w:r>
            <w:r>
              <w:rPr>
                <w:rFonts w:ascii="ËÎÌå" w:hAnsi="ËÎÌå" w:eastAsia="ËÎÌå"/>
                <w:color w:val="auto"/>
                <w:sz w:val="24"/>
              </w:rPr>
              <w:t>113</w:t>
            </w:r>
            <w:r>
              <w:rPr>
                <w:rFonts w:hint="eastAsia" w:ascii="宋体" w:hAnsi="宋体" w:eastAsia="宋体"/>
                <w:color w:val="auto"/>
                <w:sz w:val="24"/>
              </w:rPr>
              <w:t>号）。</w:t>
            </w:r>
          </w:p>
          <w:p>
            <w:pPr>
              <w:spacing w:line="360" w:lineRule="auto"/>
              <w:ind w:firstLine="480" w:firstLineChars="200"/>
              <w:rPr>
                <w:rFonts w:ascii="宋体" w:hAnsi="宋体" w:eastAsia="宋体"/>
                <w:color w:val="auto"/>
                <w:sz w:val="24"/>
              </w:rPr>
            </w:pPr>
            <w:r>
              <w:rPr>
                <w:rFonts w:hint="eastAsia" w:ascii="宋体" w:hAnsi="宋体" w:eastAsia="宋体"/>
                <w:color w:val="auto"/>
                <w:sz w:val="24"/>
              </w:rPr>
              <w:t>本项目涉及《太湖流域管理条例》划定的保护区域，经查，不属于《太湖流域管理条例》中保护区禁止建设的项目，符合相关规定。</w:t>
            </w:r>
          </w:p>
          <w:p>
            <w:pPr>
              <w:spacing w:line="360" w:lineRule="auto"/>
              <w:ind w:firstLine="480" w:firstLineChars="200"/>
              <w:rPr>
                <w:rFonts w:ascii="Times New Roman" w:hAnsi="Times New Roman" w:eastAsia="宋体" w:cs="Times New Roman"/>
                <w:color w:val="auto"/>
                <w:sz w:val="24"/>
              </w:rPr>
            </w:pPr>
            <w:r>
              <w:rPr>
                <w:rFonts w:hint="eastAsia" w:ascii="宋体" w:hAnsi="宋体" w:eastAsia="宋体"/>
                <w:color w:val="auto"/>
                <w:sz w:val="24"/>
              </w:rPr>
              <w:t>经查，本项目位于宜兴市丁蜀镇太湖重要保护区，太湖重要保护区为二级管控区，本项目严格执行《江苏省太湖水污染防治条例》和《太湖流域管理条例》</w:t>
            </w:r>
            <w:r>
              <w:rPr>
                <w:rFonts w:hint="eastAsia" w:ascii="ËÎÌå" w:hAnsi="ËÎÌå" w:eastAsia="宋体"/>
                <w:color w:val="auto"/>
                <w:sz w:val="24"/>
              </w:rPr>
              <w:t>，</w:t>
            </w:r>
            <w:r>
              <w:rPr>
                <w:rFonts w:hint="eastAsia" w:ascii="宋体" w:hAnsi="宋体" w:eastAsia="宋体"/>
                <w:color w:val="auto"/>
                <w:sz w:val="24"/>
              </w:rPr>
              <w:t>符合规划要求。</w:t>
            </w:r>
          </w:p>
          <w:p>
            <w:pPr>
              <w:spacing w:line="360" w:lineRule="auto"/>
              <w:rPr>
                <w:rFonts w:ascii="Times New Roman" w:hAnsi="Times New Roman" w:cs="Times New Roman"/>
                <w:bCs/>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835" w:hRule="atLeast"/>
          <w:jc w:val="center"/>
        </w:trPr>
        <w:tc>
          <w:tcPr>
            <w:tcW w:w="8978" w:type="dxa"/>
            <w:gridSpan w:val="11"/>
            <w:tcBorders>
              <w:top w:val="single" w:color="auto" w:sz="4" w:space="0"/>
              <w:bottom w:val="single" w:color="auto" w:sz="4" w:space="0"/>
            </w:tcBorders>
          </w:tcPr>
          <w:p>
            <w:pPr>
              <w:spacing w:line="360" w:lineRule="auto"/>
              <w:rPr>
                <w:rFonts w:ascii="Times New Roman" w:hAnsi="Times New Roman" w:cs="Times New Roman"/>
                <w:b/>
                <w:color w:val="auto"/>
                <w:sz w:val="24"/>
              </w:rPr>
            </w:pPr>
            <w:r>
              <w:rPr>
                <w:rFonts w:hint="eastAsia" w:ascii="Times New Roman" w:hAnsi="Times New Roman" w:cs="Times New Roman"/>
                <w:b/>
                <w:color w:val="auto"/>
                <w:sz w:val="24"/>
              </w:rPr>
              <w:t>与本项目有关的原有污染情况及主要环境问题：</w:t>
            </w:r>
          </w:p>
          <w:p>
            <w:pPr>
              <w:spacing w:line="360" w:lineRule="auto"/>
              <w:ind w:firstLine="480" w:firstLineChars="200"/>
              <w:rPr>
                <w:rFonts w:ascii="宋体" w:hAnsi="宋体" w:eastAsia="宋体"/>
                <w:color w:val="auto"/>
                <w:sz w:val="24"/>
              </w:rPr>
            </w:pPr>
            <w:r>
              <w:rPr>
                <w:rFonts w:hint="eastAsia" w:ascii="宋体" w:hAnsi="宋体" w:eastAsia="宋体"/>
                <w:color w:val="auto"/>
                <w:sz w:val="24"/>
              </w:rPr>
              <w:t>宜兴市位于江苏南部苏浙皖三省交界处，湖西地区下游，总面积</w:t>
            </w:r>
            <w:r>
              <w:rPr>
                <w:rFonts w:ascii="ËÎÌå" w:hAnsi="ËÎÌå" w:eastAsia="ËÎÌå"/>
                <w:color w:val="auto"/>
                <w:sz w:val="24"/>
              </w:rPr>
              <w:t>1758km</w:t>
            </w:r>
            <w:r>
              <w:rPr>
                <w:rFonts w:ascii="Times New Roman" w:hAnsi="Times New Roman" w:eastAsia="ËÎÌå" w:cs="Times New Roman"/>
                <w:color w:val="auto"/>
                <w:sz w:val="24"/>
                <w:szCs w:val="24"/>
                <w:vertAlign w:val="superscript"/>
              </w:rPr>
              <w:t>2</w:t>
            </w:r>
            <w:r>
              <w:rPr>
                <w:rFonts w:hint="eastAsia" w:ascii="宋体" w:hAnsi="宋体" w:eastAsia="宋体"/>
                <w:color w:val="auto"/>
                <w:sz w:val="24"/>
              </w:rPr>
              <w:t>，却承接着上游</w:t>
            </w:r>
            <w:r>
              <w:rPr>
                <w:rFonts w:ascii="ËÎÌå" w:hAnsi="ËÎÌå" w:eastAsia="ËÎÌå"/>
                <w:color w:val="auto"/>
                <w:sz w:val="24"/>
              </w:rPr>
              <w:t>4700km</w:t>
            </w:r>
            <w:r>
              <w:rPr>
                <w:rFonts w:ascii="Times New Roman" w:hAnsi="Times New Roman" w:eastAsia="ËÎÌå" w:cs="Times New Roman"/>
                <w:color w:val="auto"/>
                <w:sz w:val="24"/>
                <w:szCs w:val="24"/>
                <w:vertAlign w:val="superscript"/>
              </w:rPr>
              <w:t>2</w:t>
            </w:r>
            <w:r>
              <w:rPr>
                <w:rFonts w:hint="eastAsia" w:ascii="宋体" w:hAnsi="宋体" w:eastAsia="宋体"/>
                <w:color w:val="auto"/>
                <w:sz w:val="24"/>
              </w:rPr>
              <w:t>的来水，是名副其实的“洪水走廊”，特定的地理条件和自然环境决定了其洪涝灾害的多发性，亦决定了其水利建设的重要性。</w:t>
            </w:r>
          </w:p>
          <w:p>
            <w:pPr>
              <w:spacing w:line="360" w:lineRule="auto"/>
              <w:ind w:firstLine="480" w:firstLineChars="200"/>
              <w:rPr>
                <w:rFonts w:ascii="宋体" w:hAnsi="宋体" w:eastAsia="宋体"/>
                <w:color w:val="auto"/>
                <w:sz w:val="24"/>
              </w:rPr>
            </w:pPr>
            <w:r>
              <w:rPr>
                <w:rFonts w:hint="eastAsia" w:ascii="宋体" w:hAnsi="宋体" w:eastAsia="宋体"/>
                <w:color w:val="auto"/>
                <w:sz w:val="24"/>
              </w:rPr>
              <w:t>经过多年的水利建设，宜兴市水系已经基本形成一个布局合理的体系，基本能够满足区域供水、防洪等功能的需求，但随着城市化进程的加快和经济社会的发展，对水利建设提出了新的要求，宜兴市现状水系在各方面已经跟不上经济社会发展的需求，因此须对现有水系进行系统和全面的规划建设。</w:t>
            </w:r>
          </w:p>
          <w:p>
            <w:pPr>
              <w:spacing w:line="360" w:lineRule="auto"/>
              <w:ind w:firstLine="480" w:firstLineChars="200"/>
              <w:rPr>
                <w:rFonts w:ascii="宋体" w:hAnsi="宋体" w:eastAsia="宋体"/>
                <w:color w:val="auto"/>
                <w:sz w:val="24"/>
              </w:rPr>
            </w:pPr>
            <w:r>
              <w:rPr>
                <w:rFonts w:hint="eastAsia" w:ascii="宋体" w:hAnsi="宋体" w:eastAsia="宋体"/>
                <w:color w:val="auto"/>
                <w:sz w:val="24"/>
              </w:rPr>
              <w:t>宜兴市现有水系存在并亟待解决的问题主要包括：</w:t>
            </w:r>
          </w:p>
          <w:p>
            <w:pPr>
              <w:spacing w:line="360" w:lineRule="auto"/>
              <w:ind w:firstLine="480" w:firstLineChars="200"/>
              <w:rPr>
                <w:rFonts w:ascii="宋体" w:hAnsi="宋体" w:eastAsia="宋体"/>
                <w:color w:val="auto"/>
                <w:sz w:val="24"/>
              </w:rPr>
            </w:pPr>
            <w:r>
              <w:rPr>
                <w:rFonts w:ascii="ËÎÌå" w:hAnsi="ËÎÌå" w:eastAsia="ËÎÌå"/>
                <w:color w:val="auto"/>
                <w:sz w:val="24"/>
              </w:rPr>
              <w:t>1</w:t>
            </w:r>
            <w:r>
              <w:rPr>
                <w:rFonts w:hint="eastAsia" w:ascii="宋体" w:hAnsi="宋体" w:eastAsia="宋体"/>
                <w:color w:val="auto"/>
                <w:sz w:val="24"/>
              </w:rPr>
              <w:t>、宜兴市自然地形多样，既有平原性河流，又有山丘性河流，部分河道较难满足其功能需要，如部分河道存在河道较窄，暴雨时有部分地段不能满足行洪要求；河道不能充分蓄水等问题，这些影响了区域经济发展和居民生活。</w:t>
            </w:r>
          </w:p>
          <w:p>
            <w:pPr>
              <w:spacing w:line="360" w:lineRule="auto"/>
              <w:ind w:firstLine="480" w:firstLineChars="200"/>
              <w:rPr>
                <w:rFonts w:ascii="宋体" w:hAnsi="宋体" w:eastAsia="宋体"/>
                <w:color w:val="auto"/>
                <w:sz w:val="24"/>
              </w:rPr>
            </w:pPr>
            <w:r>
              <w:rPr>
                <w:rFonts w:ascii="ËÎÌå" w:hAnsi="ËÎÌå" w:eastAsia="ËÎÌå"/>
                <w:color w:val="auto"/>
                <w:sz w:val="24"/>
              </w:rPr>
              <w:t>2</w:t>
            </w:r>
            <w:r>
              <w:rPr>
                <w:rFonts w:hint="eastAsia" w:ascii="宋体" w:hAnsi="宋体" w:eastAsia="宋体"/>
                <w:color w:val="auto"/>
                <w:sz w:val="24"/>
              </w:rPr>
              <w:t>、宜兴市部分河流是天然护坡，由于其航运较发达，使得河道冲刷严重，部分河道两岸塌方，造成水土流失，并且河道淤积现象严重；部分田埂阻断河道，以及河底比降较小，也是河道淤积的原因；部分河道内水草丛生，水流不畅。这些都影响了河道水体的流动，使河网的调蓄能力显著减小，造成局部地区易涝。</w:t>
            </w:r>
          </w:p>
          <w:p>
            <w:pPr>
              <w:spacing w:line="360" w:lineRule="auto"/>
              <w:ind w:firstLine="480" w:firstLineChars="200"/>
              <w:rPr>
                <w:rFonts w:ascii="宋体" w:hAnsi="宋体" w:eastAsia="宋体"/>
                <w:color w:val="auto"/>
                <w:sz w:val="24"/>
              </w:rPr>
            </w:pPr>
            <w:r>
              <w:rPr>
                <w:rFonts w:ascii="ËÎÌå" w:hAnsi="ËÎÌå" w:eastAsia="ËÎÌå"/>
                <w:color w:val="auto"/>
                <w:sz w:val="24"/>
              </w:rPr>
              <w:t>3</w:t>
            </w:r>
            <w:r>
              <w:rPr>
                <w:rFonts w:hint="eastAsia" w:ascii="宋体" w:hAnsi="宋体" w:eastAsia="宋体"/>
                <w:color w:val="auto"/>
                <w:sz w:val="24"/>
              </w:rPr>
              <w:t>、随着宜兴市经济的飞速增长，人类活动对水系干扰加重。尤其是开发区、工业园区、工矿企业、房地产开发等规划建设过程中，岸边的违章建筑物使得河道变窄和改道；河道填埋、侵占水域现象时有发生，导致河道天然调蓄能力减弱；部分河道、湖荡有围网养殖现象。由此导致河道断面太小，过水能力不足，影响了河道的泄洪能力和通航功能，同时也影响了河道的生态功能，不利于河道的健康发展。</w:t>
            </w:r>
          </w:p>
          <w:p>
            <w:pPr>
              <w:spacing w:line="360" w:lineRule="auto"/>
              <w:ind w:firstLine="480" w:firstLineChars="200"/>
              <w:rPr>
                <w:rFonts w:ascii="宋体" w:hAnsi="宋体" w:eastAsia="宋体"/>
                <w:color w:val="auto"/>
                <w:sz w:val="24"/>
              </w:rPr>
            </w:pPr>
            <w:r>
              <w:rPr>
                <w:rFonts w:ascii="ËÎÌå" w:hAnsi="ËÎÌå" w:eastAsia="ËÎÌå"/>
                <w:color w:val="auto"/>
                <w:sz w:val="24"/>
              </w:rPr>
              <w:t>4</w:t>
            </w:r>
            <w:r>
              <w:rPr>
                <w:rFonts w:hint="eastAsia" w:ascii="宋体" w:hAnsi="宋体" w:eastAsia="宋体"/>
                <w:color w:val="auto"/>
                <w:sz w:val="24"/>
              </w:rPr>
              <w:t>、宜兴市经济社会高速发展，开发区和工业园区的发展，对水安全、水资源、水环境、水生态、水景观提出了更新和更高的要求，目前水系从整体来说还需进行系统的改善、调整，从而使水系利用达到最优化。</w:t>
            </w:r>
          </w:p>
          <w:p>
            <w:pPr>
              <w:spacing w:line="360" w:lineRule="auto"/>
              <w:ind w:firstLine="480" w:firstLineChars="200"/>
              <w:rPr>
                <w:rFonts w:ascii="宋体" w:hAnsi="宋体" w:eastAsia="宋体"/>
                <w:color w:val="auto"/>
                <w:sz w:val="24"/>
              </w:rPr>
            </w:pPr>
            <w:r>
              <w:rPr>
                <w:rFonts w:hint="eastAsia" w:ascii="宋体" w:hAnsi="宋体" w:eastAsia="宋体"/>
                <w:color w:val="auto"/>
                <w:sz w:val="24"/>
              </w:rPr>
              <w:t>因此，从宜兴市经济社会可持续发展的需求出发，在现状水系基础上，针对重点存在问题，对水系进行系统的整治。</w:t>
            </w:r>
          </w:p>
          <w:p>
            <w:pPr>
              <w:spacing w:line="360" w:lineRule="auto"/>
              <w:rPr>
                <w:rFonts w:ascii="Times New Roman" w:hAnsi="Times New Roman" w:cs="Times New Roman"/>
                <w:bCs/>
                <w:color w:val="auto"/>
                <w:sz w:val="24"/>
              </w:rPr>
            </w:pPr>
          </w:p>
          <w:p>
            <w:pPr>
              <w:spacing w:line="360" w:lineRule="auto"/>
              <w:rPr>
                <w:rFonts w:ascii="Times New Roman" w:hAnsi="Times New Roman" w:cs="Times New Roman"/>
                <w:bCs/>
                <w:color w:val="auto"/>
                <w:sz w:val="24"/>
              </w:rPr>
            </w:pPr>
          </w:p>
        </w:tc>
      </w:tr>
    </w:tbl>
    <w:p>
      <w:pPr>
        <w:rPr>
          <w:color w:val="auto"/>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20"/>
        <w:rPr>
          <w:color w:val="auto"/>
        </w:rPr>
      </w:pPr>
      <w:r>
        <w:rPr>
          <w:rFonts w:hint="eastAsia"/>
          <w:color w:val="auto"/>
        </w:rPr>
        <w:t>二、</w:t>
      </w:r>
      <w:r>
        <w:rPr>
          <w:color w:val="auto"/>
        </w:rPr>
        <w:t>建设项目所在地自然环境、社会环境简况</w:t>
      </w:r>
    </w:p>
    <w:tbl>
      <w:tblPr>
        <w:tblStyle w:val="16"/>
        <w:tblW w:w="8980" w:type="dxa"/>
        <w:jc w:val="center"/>
        <w:tblInd w:w="-7"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98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833" w:hRule="atLeast"/>
          <w:jc w:val="center"/>
        </w:trPr>
        <w:tc>
          <w:tcPr>
            <w:tcW w:w="8980" w:type="dxa"/>
            <w:tcBorders>
              <w:top w:val="single" w:color="auto" w:sz="4" w:space="0"/>
              <w:bottom w:val="single" w:color="auto" w:sz="4" w:space="0"/>
            </w:tcBorders>
          </w:tcPr>
          <w:p>
            <w:pPr>
              <w:adjustRightInd w:val="0"/>
              <w:snapToGrid w:val="0"/>
              <w:spacing w:line="360" w:lineRule="auto"/>
              <w:rPr>
                <w:rFonts w:ascii="Times New Roman" w:hAnsi="Times New Roman" w:cs="Times New Roman"/>
                <w:color w:val="auto"/>
                <w:spacing w:val="-6"/>
                <w:sz w:val="24"/>
              </w:rPr>
            </w:pPr>
            <w:r>
              <w:rPr>
                <w:rFonts w:ascii="Times New Roman" w:hAnsi="Times New Roman" w:cs="Times New Roman"/>
                <w:b/>
                <w:bCs/>
                <w:color w:val="auto"/>
                <w:spacing w:val="-6"/>
                <w:sz w:val="24"/>
              </w:rPr>
              <w:t>自然环境简况</w:t>
            </w:r>
            <w:r>
              <w:rPr>
                <w:rFonts w:hint="eastAsia" w:ascii="Times New Roman" w:hAnsi="Times New Roman" w:cs="Times New Roman"/>
                <w:b/>
                <w:bCs/>
                <w:color w:val="auto"/>
                <w:spacing w:val="-6"/>
                <w:sz w:val="24"/>
              </w:rPr>
              <w:t>（</w:t>
            </w:r>
            <w:r>
              <w:rPr>
                <w:rFonts w:ascii="Times New Roman" w:hAnsi="Times New Roman" w:cs="Times New Roman"/>
                <w:b/>
                <w:bCs/>
                <w:color w:val="auto"/>
                <w:spacing w:val="-6"/>
                <w:sz w:val="24"/>
              </w:rPr>
              <w:t>地形、地貌、地质、气候、气象、水文、植被、生物多样性等</w:t>
            </w:r>
            <w:r>
              <w:rPr>
                <w:rFonts w:hint="eastAsia" w:ascii="Times New Roman" w:hAnsi="Times New Roman" w:cs="Times New Roman"/>
                <w:b/>
                <w:bCs/>
                <w:color w:val="auto"/>
                <w:spacing w:val="-6"/>
                <w:sz w:val="24"/>
              </w:rPr>
              <w:t>）</w:t>
            </w:r>
            <w:r>
              <w:rPr>
                <w:rFonts w:ascii="Times New Roman" w:hAnsi="Times New Roman" w:cs="Times New Roman"/>
                <w:color w:val="auto"/>
                <w:spacing w:val="-6"/>
                <w:sz w:val="24"/>
              </w:rPr>
              <w:t>：</w:t>
            </w:r>
          </w:p>
          <w:p>
            <w:pPr>
              <w:adjustRightInd w:val="0"/>
              <w:snapToGrid w:val="0"/>
              <w:spacing w:line="360" w:lineRule="auto"/>
              <w:ind w:firstLine="482" w:firstLineChars="200"/>
              <w:rPr>
                <w:rFonts w:ascii="Times New Roman" w:hAnsi="Times New Roman" w:cs="Times New Roman"/>
                <w:b/>
                <w:color w:val="auto"/>
                <w:sz w:val="24"/>
              </w:rPr>
            </w:pPr>
            <w:r>
              <w:rPr>
                <w:rFonts w:ascii="Times New Roman" w:hAnsi="Times New Roman" w:cs="Times New Roman"/>
                <w:b/>
                <w:color w:val="auto"/>
                <w:sz w:val="24"/>
              </w:rPr>
              <w:t>一、地理位置</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color w:val="auto"/>
                <w:sz w:val="24"/>
              </w:rPr>
              <w:t>宜兴市位于北纬31°07′～31°37′，东经119°31′～120°03′。地处江苏省南端、沪宁杭三角中心，东面太湖水面与苏州太湖水面相连，东南邻浙江长兴，西南界安徽广德，西接溧阳，西北毗连金坛，北与武进相傍，地处经济发达的长江三角洲地区、沪、宁、杭三角地区中心地带。滆湖镶嵌宜兴和武进之间，三氿（西氿、团氿、东氿）相伴市区东西两侧。全市总面积1996.6平方千米（其中太湖水域面积242.29平方千米）。</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项目位于宜兴市丁蜀镇</w:t>
            </w:r>
            <w:r>
              <w:rPr>
                <w:rFonts w:ascii="Times New Roman" w:hAnsi="Times New Roman" w:cs="Times New Roman"/>
                <w:color w:val="auto"/>
                <w:sz w:val="24"/>
              </w:rPr>
              <w:t>，具体地理位置详见附图1。</w:t>
            </w:r>
          </w:p>
          <w:p>
            <w:pPr>
              <w:adjustRightInd w:val="0"/>
              <w:snapToGrid w:val="0"/>
              <w:spacing w:line="360" w:lineRule="auto"/>
              <w:ind w:firstLine="482" w:firstLineChars="200"/>
              <w:rPr>
                <w:rFonts w:ascii="Times New Roman" w:hAnsi="Times New Roman" w:cs="Times New Roman"/>
                <w:b/>
                <w:bCs/>
                <w:color w:val="auto"/>
                <w:sz w:val="24"/>
              </w:rPr>
            </w:pPr>
            <w:r>
              <w:rPr>
                <w:rFonts w:ascii="Times New Roman" w:hAnsi="Times New Roman" w:cs="Times New Roman"/>
                <w:b/>
                <w:bCs/>
                <w:color w:val="auto"/>
                <w:sz w:val="24"/>
              </w:rPr>
              <w:t>二、地形、地貌</w:t>
            </w:r>
          </w:p>
          <w:p>
            <w:pPr>
              <w:adjustRightInd w:val="0"/>
              <w:snapToGrid w:val="0"/>
              <w:spacing w:line="360" w:lineRule="auto"/>
              <w:ind w:firstLine="480"/>
              <w:rPr>
                <w:rFonts w:ascii="Times New Roman" w:hAnsi="Times New Roman" w:cs="Times New Roman"/>
                <w:color w:val="auto"/>
                <w:sz w:val="24"/>
              </w:rPr>
            </w:pPr>
            <w:r>
              <w:rPr>
                <w:rFonts w:ascii="Times New Roman" w:hAnsi="Times New Roman" w:cs="Times New Roman"/>
                <w:color w:val="auto"/>
                <w:sz w:val="24"/>
              </w:rPr>
              <w:t>宜兴市地理环境独特，地貌形态多样，大致可分为丘陵、平原和圩区三大地貌。根据2014年国土局资料显示，宜兴市丘陵山区约占全市国土总面积的34.12%，平原区占29.74%，圩区占19.39%，水域面积约为16.75%。</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color w:val="auto"/>
                <w:sz w:val="24"/>
              </w:rPr>
              <w:t>宜兴境内土壤类型较多，大致包括7个土类，31个土属和73个土种。其中，南部丘陵山区以乌泥土、黄土和冲田白土为主；中部平原区以乌泥土、黄泥土和白土类为主；沿湖渎区则以夜潮土、湖白土和沙土类为主。</w:t>
            </w:r>
          </w:p>
          <w:p>
            <w:pPr>
              <w:adjustRightInd w:val="0"/>
              <w:snapToGrid w:val="0"/>
              <w:spacing w:line="360" w:lineRule="auto"/>
              <w:ind w:firstLine="482" w:firstLineChars="200"/>
              <w:rPr>
                <w:rFonts w:ascii="Times New Roman" w:hAnsi="Times New Roman" w:cs="Times New Roman"/>
                <w:b/>
                <w:color w:val="auto"/>
                <w:sz w:val="24"/>
              </w:rPr>
            </w:pPr>
            <w:r>
              <w:rPr>
                <w:rFonts w:ascii="Times New Roman" w:hAnsi="Times New Roman" w:cs="Times New Roman"/>
                <w:b/>
                <w:color w:val="auto"/>
                <w:sz w:val="24"/>
              </w:rPr>
              <w:t>三、气候气象</w:t>
            </w:r>
          </w:p>
          <w:p>
            <w:pPr>
              <w:adjustRightInd w:val="0"/>
              <w:snapToGrid w:val="0"/>
              <w:spacing w:line="360" w:lineRule="auto"/>
              <w:ind w:firstLine="480"/>
              <w:rPr>
                <w:rFonts w:ascii="Times New Roman" w:hAnsi="Times New Roman" w:cs="Times New Roman"/>
                <w:color w:val="auto"/>
                <w:sz w:val="24"/>
              </w:rPr>
            </w:pPr>
            <w:r>
              <w:rPr>
                <w:rFonts w:ascii="Times New Roman" w:hAnsi="Times New Roman" w:cs="Times New Roman"/>
                <w:color w:val="auto"/>
                <w:sz w:val="24"/>
              </w:rPr>
              <w:t>宜兴地处北亚热带与中亚热带间的过度地带，兼有大陆性和海洋性气候特征。南部丘陵山区因其特殊的地理环境和起伏的地势地貌，多产生小气候；东部太湖渎区因紧邻太湖，迎风堤岸线长达约40 km，易受风害侵袭。规划区气候具有季风显著、四季分明、雨量充沛、冬寒夏热和雨热同步等特点。</w:t>
            </w:r>
          </w:p>
          <w:p>
            <w:pPr>
              <w:adjustRightInd w:val="0"/>
              <w:snapToGrid w:val="0"/>
              <w:spacing w:line="360" w:lineRule="auto"/>
              <w:ind w:firstLine="480"/>
              <w:rPr>
                <w:rFonts w:ascii="Times New Roman" w:hAnsi="Times New Roman" w:cs="Times New Roman"/>
                <w:color w:val="auto"/>
                <w:sz w:val="24"/>
              </w:rPr>
            </w:pPr>
            <w:r>
              <w:rPr>
                <w:rFonts w:ascii="Times New Roman" w:hAnsi="Times New Roman" w:cs="Times New Roman"/>
                <w:color w:val="auto"/>
                <w:sz w:val="24"/>
              </w:rPr>
              <w:t>主要气象特征见表2-1。</w:t>
            </w:r>
          </w:p>
          <w:p>
            <w:pPr>
              <w:adjustRightInd w:val="0"/>
              <w:snapToGrid w:val="0"/>
              <w:jc w:val="center"/>
              <w:rPr>
                <w:rFonts w:ascii="Times New Roman" w:hAnsi="Times New Roman" w:cs="Times New Roman"/>
                <w:b/>
                <w:color w:val="auto"/>
                <w:sz w:val="24"/>
              </w:rPr>
            </w:pPr>
          </w:p>
          <w:p>
            <w:pPr>
              <w:adjustRightInd w:val="0"/>
              <w:snapToGrid w:val="0"/>
              <w:jc w:val="center"/>
              <w:rPr>
                <w:rFonts w:ascii="Times New Roman" w:hAnsi="Times New Roman" w:cs="Times New Roman"/>
                <w:b/>
                <w:color w:val="auto"/>
                <w:sz w:val="24"/>
              </w:rPr>
            </w:pPr>
          </w:p>
          <w:p>
            <w:pPr>
              <w:adjustRightInd w:val="0"/>
              <w:snapToGrid w:val="0"/>
              <w:jc w:val="center"/>
              <w:rPr>
                <w:rFonts w:ascii="Times New Roman" w:hAnsi="Times New Roman" w:cs="Times New Roman"/>
                <w:b/>
                <w:color w:val="auto"/>
                <w:sz w:val="24"/>
              </w:rPr>
            </w:pPr>
          </w:p>
          <w:p>
            <w:pPr>
              <w:adjustRightInd w:val="0"/>
              <w:snapToGrid w:val="0"/>
              <w:jc w:val="center"/>
              <w:rPr>
                <w:rFonts w:ascii="Times New Roman" w:hAnsi="Times New Roman" w:cs="Times New Roman"/>
                <w:b/>
                <w:color w:val="auto"/>
                <w:sz w:val="24"/>
              </w:rPr>
            </w:pPr>
          </w:p>
          <w:p>
            <w:pPr>
              <w:adjustRightInd w:val="0"/>
              <w:snapToGrid w:val="0"/>
              <w:jc w:val="center"/>
              <w:rPr>
                <w:rFonts w:ascii="Times New Roman" w:hAnsi="Times New Roman" w:cs="Times New Roman"/>
                <w:b/>
                <w:color w:val="auto"/>
                <w:sz w:val="24"/>
              </w:rPr>
            </w:pPr>
          </w:p>
          <w:p>
            <w:pPr>
              <w:adjustRightInd w:val="0"/>
              <w:snapToGrid w:val="0"/>
              <w:jc w:val="center"/>
              <w:rPr>
                <w:rFonts w:ascii="Times New Roman" w:hAnsi="Times New Roman" w:cs="Times New Roman"/>
                <w:b/>
                <w:color w:val="auto"/>
                <w:sz w:val="24"/>
              </w:rPr>
            </w:pPr>
          </w:p>
          <w:p>
            <w:pPr>
              <w:adjustRightInd w:val="0"/>
              <w:snapToGrid w:val="0"/>
              <w:jc w:val="center"/>
              <w:rPr>
                <w:rFonts w:ascii="Times New Roman" w:hAnsi="Times New Roman" w:cs="Times New Roman"/>
                <w:b/>
                <w:color w:val="auto"/>
                <w:sz w:val="24"/>
              </w:rPr>
            </w:pPr>
          </w:p>
          <w:p>
            <w:pPr>
              <w:adjustRightInd w:val="0"/>
              <w:snapToGrid w:val="0"/>
              <w:jc w:val="center"/>
              <w:rPr>
                <w:rFonts w:ascii="Times New Roman" w:hAnsi="Times New Roman" w:cs="Times New Roman"/>
                <w:b/>
                <w:color w:val="auto"/>
                <w:sz w:val="24"/>
              </w:rPr>
            </w:pPr>
          </w:p>
          <w:p>
            <w:pPr>
              <w:adjustRightInd w:val="0"/>
              <w:snapToGrid w:val="0"/>
              <w:jc w:val="center"/>
              <w:rPr>
                <w:rFonts w:ascii="Times New Roman" w:hAnsi="Times New Roman" w:cs="Times New Roman"/>
                <w:b/>
                <w:color w:val="auto"/>
                <w:sz w:val="24"/>
              </w:rPr>
            </w:pPr>
          </w:p>
          <w:p>
            <w:pPr>
              <w:adjustRightInd w:val="0"/>
              <w:snapToGrid w:val="0"/>
              <w:jc w:val="center"/>
              <w:rPr>
                <w:rFonts w:ascii="Times New Roman" w:hAnsi="Times New Roman" w:cs="Times New Roman"/>
                <w:b/>
                <w:color w:val="auto"/>
                <w:sz w:val="24"/>
              </w:rPr>
            </w:pPr>
          </w:p>
          <w:p>
            <w:pPr>
              <w:adjustRightInd w:val="0"/>
              <w:snapToGrid w:val="0"/>
              <w:jc w:val="center"/>
              <w:rPr>
                <w:rFonts w:ascii="Times New Roman" w:hAnsi="Times New Roman" w:cs="Times New Roman"/>
                <w:b/>
                <w:color w:val="auto"/>
                <w:sz w:val="24"/>
              </w:rPr>
            </w:pPr>
          </w:p>
          <w:p>
            <w:pPr>
              <w:adjustRightInd w:val="0"/>
              <w:snapToGrid w:val="0"/>
              <w:jc w:val="center"/>
              <w:rPr>
                <w:rFonts w:ascii="Times New Roman" w:hAnsi="Times New Roman" w:cs="Times New Roman"/>
                <w:b/>
                <w:color w:val="auto"/>
                <w:sz w:val="24"/>
              </w:rPr>
            </w:pPr>
          </w:p>
          <w:p>
            <w:pPr>
              <w:adjustRightInd w:val="0"/>
              <w:snapToGrid w:val="0"/>
              <w:jc w:val="center"/>
              <w:rPr>
                <w:rFonts w:ascii="Times New Roman" w:hAnsi="Times New Roman" w:cs="Times New Roman"/>
                <w:b/>
                <w:color w:val="auto"/>
                <w:sz w:val="24"/>
              </w:rPr>
            </w:pPr>
            <w:r>
              <w:rPr>
                <w:rFonts w:ascii="Times New Roman" w:hAnsi="Times New Roman" w:cs="Times New Roman"/>
                <w:b/>
                <w:color w:val="auto"/>
                <w:sz w:val="24"/>
              </w:rPr>
              <w:t xml:space="preserve">表2-1 </w:t>
            </w:r>
            <w:r>
              <w:rPr>
                <w:rFonts w:hint="eastAsia" w:ascii="Times New Roman" w:hAnsi="Times New Roman" w:cs="Times New Roman"/>
                <w:b/>
                <w:color w:val="auto"/>
                <w:sz w:val="24"/>
              </w:rPr>
              <w:t xml:space="preserve"> </w:t>
            </w:r>
            <w:r>
              <w:rPr>
                <w:rFonts w:ascii="Times New Roman" w:hAnsi="Times New Roman" w:cs="Times New Roman"/>
                <w:b/>
                <w:color w:val="auto"/>
                <w:sz w:val="24"/>
              </w:rPr>
              <w:t>主要气象气候特征</w:t>
            </w:r>
          </w:p>
          <w:tbl>
            <w:tblPr>
              <w:tblStyle w:val="16"/>
              <w:tblW w:w="8764"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097"/>
              <w:gridCol w:w="1838"/>
              <w:gridCol w:w="3514"/>
              <w:gridCol w:w="231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97"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编号</w:t>
                  </w:r>
                </w:p>
              </w:tc>
              <w:tc>
                <w:tcPr>
                  <w:tcW w:w="5352" w:type="dxa"/>
                  <w:gridSpan w:val="2"/>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项目</w:t>
                  </w:r>
                </w:p>
              </w:tc>
              <w:tc>
                <w:tcPr>
                  <w:tcW w:w="2315"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数值及单位</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97" w:type="dxa"/>
                  <w:vMerge w:val="restart"/>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1</w:t>
                  </w:r>
                </w:p>
              </w:tc>
              <w:tc>
                <w:tcPr>
                  <w:tcW w:w="1838" w:type="dxa"/>
                  <w:vMerge w:val="restart"/>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气温</w:t>
                  </w:r>
                </w:p>
              </w:tc>
              <w:tc>
                <w:tcPr>
                  <w:tcW w:w="3514"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年平均气温</w:t>
                  </w:r>
                </w:p>
              </w:tc>
              <w:tc>
                <w:tcPr>
                  <w:tcW w:w="2315"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15.7℃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97" w:type="dxa"/>
                  <w:vMerge w:val="continue"/>
                  <w:tcBorders>
                    <w:tl2br w:val="nil"/>
                    <w:tr2bl w:val="nil"/>
                  </w:tcBorders>
                  <w:vAlign w:val="center"/>
                </w:tcPr>
                <w:p>
                  <w:pPr>
                    <w:adjustRightInd w:val="0"/>
                    <w:snapToGrid w:val="0"/>
                    <w:jc w:val="center"/>
                    <w:rPr>
                      <w:rFonts w:ascii="Times New Roman" w:hAnsi="Times New Roman" w:cs="Times New Roman"/>
                      <w:color w:val="auto"/>
                    </w:rPr>
                  </w:pPr>
                </w:p>
              </w:tc>
              <w:tc>
                <w:tcPr>
                  <w:tcW w:w="1838" w:type="dxa"/>
                  <w:vMerge w:val="continue"/>
                  <w:tcBorders>
                    <w:tl2br w:val="nil"/>
                    <w:tr2bl w:val="nil"/>
                  </w:tcBorders>
                  <w:vAlign w:val="center"/>
                </w:tcPr>
                <w:p>
                  <w:pPr>
                    <w:adjustRightInd w:val="0"/>
                    <w:snapToGrid w:val="0"/>
                    <w:jc w:val="center"/>
                    <w:rPr>
                      <w:rFonts w:ascii="Times New Roman" w:hAnsi="Times New Roman" w:cs="Times New Roman"/>
                      <w:color w:val="auto"/>
                    </w:rPr>
                  </w:pPr>
                </w:p>
              </w:tc>
              <w:tc>
                <w:tcPr>
                  <w:tcW w:w="3514"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年最高温度</w:t>
                  </w:r>
                </w:p>
              </w:tc>
              <w:tc>
                <w:tcPr>
                  <w:tcW w:w="2315"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40.1℃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97" w:type="dxa"/>
                  <w:vMerge w:val="continue"/>
                  <w:tcBorders>
                    <w:tl2br w:val="nil"/>
                    <w:tr2bl w:val="nil"/>
                  </w:tcBorders>
                  <w:vAlign w:val="center"/>
                </w:tcPr>
                <w:p>
                  <w:pPr>
                    <w:adjustRightInd w:val="0"/>
                    <w:snapToGrid w:val="0"/>
                    <w:jc w:val="center"/>
                    <w:rPr>
                      <w:rFonts w:ascii="Times New Roman" w:hAnsi="Times New Roman" w:cs="Times New Roman"/>
                      <w:color w:val="auto"/>
                    </w:rPr>
                  </w:pPr>
                </w:p>
              </w:tc>
              <w:tc>
                <w:tcPr>
                  <w:tcW w:w="1838" w:type="dxa"/>
                  <w:vMerge w:val="continue"/>
                  <w:tcBorders>
                    <w:tl2br w:val="nil"/>
                    <w:tr2bl w:val="nil"/>
                  </w:tcBorders>
                  <w:vAlign w:val="center"/>
                </w:tcPr>
                <w:p>
                  <w:pPr>
                    <w:adjustRightInd w:val="0"/>
                    <w:snapToGrid w:val="0"/>
                    <w:jc w:val="center"/>
                    <w:rPr>
                      <w:rFonts w:ascii="Times New Roman" w:hAnsi="Times New Roman" w:cs="Times New Roman"/>
                      <w:color w:val="auto"/>
                    </w:rPr>
                  </w:pPr>
                </w:p>
              </w:tc>
              <w:tc>
                <w:tcPr>
                  <w:tcW w:w="3514"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年最低温度</w:t>
                  </w:r>
                </w:p>
              </w:tc>
              <w:tc>
                <w:tcPr>
                  <w:tcW w:w="2315"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97" w:type="dxa"/>
                  <w:vMerge w:val="restart"/>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2</w:t>
                  </w:r>
                </w:p>
              </w:tc>
              <w:tc>
                <w:tcPr>
                  <w:tcW w:w="1838" w:type="dxa"/>
                  <w:vMerge w:val="restart"/>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风速</w:t>
                  </w:r>
                </w:p>
              </w:tc>
              <w:tc>
                <w:tcPr>
                  <w:tcW w:w="3514"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多年平均风速</w:t>
                  </w:r>
                </w:p>
              </w:tc>
              <w:tc>
                <w:tcPr>
                  <w:tcW w:w="2315"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3.3m/s</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97" w:type="dxa"/>
                  <w:vMerge w:val="continue"/>
                  <w:tcBorders>
                    <w:tl2br w:val="nil"/>
                    <w:tr2bl w:val="nil"/>
                  </w:tcBorders>
                  <w:vAlign w:val="center"/>
                </w:tcPr>
                <w:p>
                  <w:pPr>
                    <w:adjustRightInd w:val="0"/>
                    <w:snapToGrid w:val="0"/>
                    <w:jc w:val="center"/>
                    <w:rPr>
                      <w:rFonts w:ascii="Times New Roman" w:hAnsi="Times New Roman" w:cs="Times New Roman"/>
                      <w:color w:val="auto"/>
                    </w:rPr>
                  </w:pPr>
                </w:p>
              </w:tc>
              <w:tc>
                <w:tcPr>
                  <w:tcW w:w="1838" w:type="dxa"/>
                  <w:vMerge w:val="continue"/>
                  <w:tcBorders>
                    <w:tl2br w:val="nil"/>
                    <w:tr2bl w:val="nil"/>
                  </w:tcBorders>
                  <w:vAlign w:val="center"/>
                </w:tcPr>
                <w:p>
                  <w:pPr>
                    <w:adjustRightInd w:val="0"/>
                    <w:snapToGrid w:val="0"/>
                    <w:jc w:val="center"/>
                    <w:rPr>
                      <w:rFonts w:ascii="Times New Roman" w:hAnsi="Times New Roman" w:cs="Times New Roman"/>
                      <w:color w:val="auto"/>
                    </w:rPr>
                  </w:pPr>
                </w:p>
              </w:tc>
              <w:tc>
                <w:tcPr>
                  <w:tcW w:w="3514"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最大风速</w:t>
                  </w:r>
                </w:p>
              </w:tc>
              <w:tc>
                <w:tcPr>
                  <w:tcW w:w="2315"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20m/s</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97"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3</w:t>
                  </w:r>
                </w:p>
              </w:tc>
              <w:tc>
                <w:tcPr>
                  <w:tcW w:w="1838"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气压</w:t>
                  </w:r>
                </w:p>
              </w:tc>
              <w:tc>
                <w:tcPr>
                  <w:tcW w:w="3514"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年平均大气压</w:t>
                  </w:r>
                </w:p>
              </w:tc>
              <w:tc>
                <w:tcPr>
                  <w:tcW w:w="2315"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1016.1hPa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97" w:type="dxa"/>
                  <w:vMerge w:val="restart"/>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4</w:t>
                  </w:r>
                </w:p>
              </w:tc>
              <w:tc>
                <w:tcPr>
                  <w:tcW w:w="1838" w:type="dxa"/>
                  <w:vMerge w:val="restart"/>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空气湿度</w:t>
                  </w:r>
                </w:p>
              </w:tc>
              <w:tc>
                <w:tcPr>
                  <w:tcW w:w="3514"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年平均相对湿度</w:t>
                  </w:r>
                </w:p>
              </w:tc>
              <w:tc>
                <w:tcPr>
                  <w:tcW w:w="2315"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82%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97" w:type="dxa"/>
                  <w:vMerge w:val="continue"/>
                  <w:tcBorders>
                    <w:tl2br w:val="nil"/>
                    <w:tr2bl w:val="nil"/>
                  </w:tcBorders>
                  <w:vAlign w:val="center"/>
                </w:tcPr>
                <w:p>
                  <w:pPr>
                    <w:adjustRightInd w:val="0"/>
                    <w:snapToGrid w:val="0"/>
                    <w:jc w:val="center"/>
                    <w:rPr>
                      <w:rFonts w:ascii="Times New Roman" w:hAnsi="Times New Roman" w:cs="Times New Roman"/>
                      <w:color w:val="auto"/>
                    </w:rPr>
                  </w:pPr>
                </w:p>
              </w:tc>
              <w:tc>
                <w:tcPr>
                  <w:tcW w:w="1838" w:type="dxa"/>
                  <w:vMerge w:val="continue"/>
                  <w:tcBorders>
                    <w:tl2br w:val="nil"/>
                    <w:tr2bl w:val="nil"/>
                  </w:tcBorders>
                  <w:vAlign w:val="center"/>
                </w:tcPr>
                <w:p>
                  <w:pPr>
                    <w:adjustRightInd w:val="0"/>
                    <w:snapToGrid w:val="0"/>
                    <w:jc w:val="center"/>
                    <w:rPr>
                      <w:rFonts w:ascii="Times New Roman" w:hAnsi="Times New Roman" w:cs="Times New Roman"/>
                      <w:color w:val="auto"/>
                    </w:rPr>
                  </w:pPr>
                </w:p>
              </w:tc>
              <w:tc>
                <w:tcPr>
                  <w:tcW w:w="3514"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最大年平均相对湿度</w:t>
                  </w:r>
                </w:p>
              </w:tc>
              <w:tc>
                <w:tcPr>
                  <w:tcW w:w="2315"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86%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97" w:type="dxa"/>
                  <w:vMerge w:val="restart"/>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5</w:t>
                  </w:r>
                </w:p>
              </w:tc>
              <w:tc>
                <w:tcPr>
                  <w:tcW w:w="1838" w:type="dxa"/>
                  <w:vMerge w:val="restart"/>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降雨量</w:t>
                  </w:r>
                </w:p>
              </w:tc>
              <w:tc>
                <w:tcPr>
                  <w:tcW w:w="3514"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年平均降水量</w:t>
                  </w:r>
                </w:p>
              </w:tc>
              <w:tc>
                <w:tcPr>
                  <w:tcW w:w="2315"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1160mm</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97" w:type="dxa"/>
                  <w:vMerge w:val="continue"/>
                  <w:tcBorders>
                    <w:tl2br w:val="nil"/>
                    <w:tr2bl w:val="nil"/>
                  </w:tcBorders>
                  <w:vAlign w:val="center"/>
                </w:tcPr>
                <w:p>
                  <w:pPr>
                    <w:adjustRightInd w:val="0"/>
                    <w:snapToGrid w:val="0"/>
                    <w:jc w:val="center"/>
                    <w:rPr>
                      <w:rFonts w:ascii="Times New Roman" w:hAnsi="Times New Roman" w:cs="Times New Roman"/>
                      <w:color w:val="auto"/>
                    </w:rPr>
                  </w:pPr>
                </w:p>
              </w:tc>
              <w:tc>
                <w:tcPr>
                  <w:tcW w:w="1838" w:type="dxa"/>
                  <w:vMerge w:val="continue"/>
                  <w:tcBorders>
                    <w:tl2br w:val="nil"/>
                    <w:tr2bl w:val="nil"/>
                  </w:tcBorders>
                  <w:vAlign w:val="center"/>
                </w:tcPr>
                <w:p>
                  <w:pPr>
                    <w:adjustRightInd w:val="0"/>
                    <w:snapToGrid w:val="0"/>
                    <w:jc w:val="center"/>
                    <w:rPr>
                      <w:rFonts w:ascii="Times New Roman" w:hAnsi="Times New Roman" w:cs="Times New Roman"/>
                      <w:color w:val="auto"/>
                    </w:rPr>
                  </w:pPr>
                </w:p>
              </w:tc>
              <w:tc>
                <w:tcPr>
                  <w:tcW w:w="3514"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年最大降水量</w:t>
                  </w:r>
                </w:p>
              </w:tc>
              <w:tc>
                <w:tcPr>
                  <w:tcW w:w="2315"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1750mm</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97"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6</w:t>
                  </w:r>
                </w:p>
              </w:tc>
              <w:tc>
                <w:tcPr>
                  <w:tcW w:w="1838"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积雪</w:t>
                  </w:r>
                </w:p>
              </w:tc>
              <w:tc>
                <w:tcPr>
                  <w:tcW w:w="3514"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最大积雪深度</w:t>
                  </w:r>
                </w:p>
              </w:tc>
              <w:tc>
                <w:tcPr>
                  <w:tcW w:w="2315"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80mm</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97" w:type="dxa"/>
                  <w:vMerge w:val="restart"/>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7</w:t>
                  </w:r>
                </w:p>
              </w:tc>
              <w:tc>
                <w:tcPr>
                  <w:tcW w:w="1838" w:type="dxa"/>
                  <w:vMerge w:val="restart"/>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风向</w:t>
                  </w:r>
                </w:p>
              </w:tc>
              <w:tc>
                <w:tcPr>
                  <w:tcW w:w="3514"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全年主导风向</w:t>
                  </w:r>
                </w:p>
              </w:tc>
              <w:tc>
                <w:tcPr>
                  <w:tcW w:w="2315"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SE</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97" w:type="dxa"/>
                  <w:vMerge w:val="continue"/>
                  <w:tcBorders>
                    <w:tl2br w:val="nil"/>
                    <w:tr2bl w:val="nil"/>
                  </w:tcBorders>
                  <w:vAlign w:val="center"/>
                </w:tcPr>
                <w:p>
                  <w:pPr>
                    <w:adjustRightInd w:val="0"/>
                    <w:snapToGrid w:val="0"/>
                    <w:jc w:val="center"/>
                    <w:rPr>
                      <w:rFonts w:ascii="Times New Roman" w:hAnsi="Times New Roman" w:cs="Times New Roman"/>
                      <w:color w:val="auto"/>
                    </w:rPr>
                  </w:pPr>
                </w:p>
              </w:tc>
              <w:tc>
                <w:tcPr>
                  <w:tcW w:w="1838" w:type="dxa"/>
                  <w:vMerge w:val="continue"/>
                  <w:tcBorders>
                    <w:tl2br w:val="nil"/>
                    <w:tr2bl w:val="nil"/>
                  </w:tcBorders>
                  <w:vAlign w:val="center"/>
                </w:tcPr>
                <w:p>
                  <w:pPr>
                    <w:adjustRightInd w:val="0"/>
                    <w:snapToGrid w:val="0"/>
                    <w:jc w:val="center"/>
                    <w:rPr>
                      <w:rFonts w:ascii="Times New Roman" w:hAnsi="Times New Roman" w:cs="Times New Roman"/>
                      <w:color w:val="auto"/>
                    </w:rPr>
                  </w:pPr>
                </w:p>
              </w:tc>
              <w:tc>
                <w:tcPr>
                  <w:tcW w:w="3514"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冬季主导风向</w:t>
                  </w:r>
                </w:p>
              </w:tc>
              <w:tc>
                <w:tcPr>
                  <w:tcW w:w="2315"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NW</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97" w:type="dxa"/>
                  <w:vMerge w:val="continue"/>
                  <w:tcBorders>
                    <w:tl2br w:val="nil"/>
                    <w:tr2bl w:val="nil"/>
                  </w:tcBorders>
                  <w:vAlign w:val="center"/>
                </w:tcPr>
                <w:p>
                  <w:pPr>
                    <w:adjustRightInd w:val="0"/>
                    <w:snapToGrid w:val="0"/>
                    <w:jc w:val="center"/>
                    <w:rPr>
                      <w:rFonts w:ascii="Times New Roman" w:hAnsi="Times New Roman" w:cs="Times New Roman"/>
                      <w:color w:val="auto"/>
                    </w:rPr>
                  </w:pPr>
                </w:p>
              </w:tc>
              <w:tc>
                <w:tcPr>
                  <w:tcW w:w="1838" w:type="dxa"/>
                  <w:vMerge w:val="continue"/>
                  <w:tcBorders>
                    <w:tl2br w:val="nil"/>
                    <w:tr2bl w:val="nil"/>
                  </w:tcBorders>
                  <w:vAlign w:val="center"/>
                </w:tcPr>
                <w:p>
                  <w:pPr>
                    <w:adjustRightInd w:val="0"/>
                    <w:snapToGrid w:val="0"/>
                    <w:jc w:val="center"/>
                    <w:rPr>
                      <w:rFonts w:ascii="Times New Roman" w:hAnsi="Times New Roman" w:cs="Times New Roman"/>
                      <w:color w:val="auto"/>
                    </w:rPr>
                  </w:pPr>
                </w:p>
              </w:tc>
              <w:tc>
                <w:tcPr>
                  <w:tcW w:w="3514"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夏季主导风向</w:t>
                  </w:r>
                </w:p>
              </w:tc>
              <w:tc>
                <w:tcPr>
                  <w:tcW w:w="2315"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SE</w:t>
                  </w:r>
                </w:p>
              </w:tc>
            </w:tr>
          </w:tbl>
          <w:p>
            <w:pPr>
              <w:adjustRightInd w:val="0"/>
              <w:snapToGrid w:val="0"/>
              <w:spacing w:line="360" w:lineRule="auto"/>
              <w:ind w:firstLine="482" w:firstLineChars="200"/>
              <w:rPr>
                <w:rFonts w:ascii="Times New Roman" w:hAnsi="Times New Roman" w:cs="Times New Roman"/>
                <w:b/>
                <w:color w:val="auto"/>
                <w:sz w:val="24"/>
              </w:rPr>
            </w:pPr>
            <w:r>
              <w:rPr>
                <w:rFonts w:ascii="Times New Roman" w:hAnsi="Times New Roman" w:cs="Times New Roman"/>
                <w:b/>
                <w:color w:val="auto"/>
                <w:sz w:val="24"/>
              </w:rPr>
              <w:t>四、水文、水系</w:t>
            </w:r>
          </w:p>
          <w:p>
            <w:pPr>
              <w:adjustRightInd w:val="0"/>
              <w:snapToGrid w:val="0"/>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宜兴西氿站最高水位3.9米，出现在9月1日；最低2.83米，出现在2月2日；年水位落差1.07米。太湖大浦口站最高水位3.79米，出现在7月24日；最低2.76米，出现在2月7日；年水位落差1.03米。宜兴城6条河年径流量16.3亿立方米，7月6日年最大下泄流量233立方米每秒。全年蒸发量621.8毫米。</w:t>
            </w:r>
          </w:p>
          <w:p>
            <w:pPr>
              <w:adjustRightInd w:val="0"/>
              <w:snapToGrid w:val="0"/>
              <w:spacing w:line="360" w:lineRule="auto"/>
              <w:ind w:firstLine="482" w:firstLineChars="200"/>
              <w:rPr>
                <w:rFonts w:ascii="Times New Roman" w:hAnsi="Times New Roman" w:cs="Times New Roman"/>
                <w:b/>
                <w:color w:val="auto"/>
                <w:sz w:val="24"/>
              </w:rPr>
            </w:pPr>
            <w:r>
              <w:rPr>
                <w:rFonts w:ascii="Times New Roman" w:hAnsi="Times New Roman" w:cs="Times New Roman"/>
                <w:b/>
                <w:color w:val="auto"/>
                <w:sz w:val="24"/>
              </w:rPr>
              <w:t>五、生态环境</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本地区植物类型主要为栽培植被。</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本地区野生动物随着工业发展和经济开发，无论数量和种类都逐渐减少，现仅有少量野兔、蛇等小动物。</w:t>
            </w:r>
          </w:p>
          <w:p>
            <w:pPr>
              <w:adjustRightInd w:val="0"/>
              <w:snapToGrid w:val="0"/>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项目所在</w:t>
            </w:r>
            <w:r>
              <w:rPr>
                <w:rFonts w:hint="eastAsia" w:ascii="Times New Roman" w:hAnsi="Times New Roman" w:cs="Times New Roman"/>
                <w:bCs/>
                <w:color w:val="auto"/>
                <w:sz w:val="24"/>
              </w:rPr>
              <w:t>在</w:t>
            </w:r>
            <w:r>
              <w:rPr>
                <w:rFonts w:ascii="Times New Roman" w:hAnsi="Times New Roman" w:cs="Times New Roman"/>
                <w:bCs/>
                <w:color w:val="auto"/>
                <w:sz w:val="24"/>
              </w:rPr>
              <w:t>无需特殊保护的植物和古树名木。</w:t>
            </w:r>
          </w:p>
          <w:p>
            <w:pPr>
              <w:adjustRightInd w:val="0"/>
              <w:snapToGrid w:val="0"/>
              <w:spacing w:line="360" w:lineRule="auto"/>
              <w:ind w:firstLine="480" w:firstLineChars="200"/>
              <w:rPr>
                <w:rFonts w:ascii="Times New Roman" w:hAnsi="Times New Roman" w:cs="Times New Roman"/>
                <w:bCs/>
                <w:color w:val="auto"/>
                <w:sz w:val="24"/>
              </w:rPr>
            </w:pPr>
          </w:p>
          <w:p>
            <w:pPr>
              <w:adjustRightInd w:val="0"/>
              <w:snapToGrid w:val="0"/>
              <w:spacing w:line="360" w:lineRule="auto"/>
              <w:rPr>
                <w:rFonts w:ascii="Times New Roman" w:hAnsi="Times New Roman" w:cs="Times New Roman"/>
                <w:bCs/>
                <w:color w:val="auto"/>
                <w:sz w:val="24"/>
              </w:rPr>
            </w:pPr>
          </w:p>
          <w:p>
            <w:pPr>
              <w:adjustRightInd w:val="0"/>
              <w:snapToGrid w:val="0"/>
              <w:spacing w:line="360" w:lineRule="auto"/>
              <w:rPr>
                <w:rFonts w:ascii="Times New Roman" w:hAnsi="Times New Roman" w:cs="Times New Roman"/>
                <w:bCs/>
                <w:color w:val="auto"/>
                <w:sz w:val="24"/>
              </w:rPr>
            </w:pPr>
          </w:p>
          <w:p>
            <w:pPr>
              <w:adjustRightInd w:val="0"/>
              <w:snapToGrid w:val="0"/>
              <w:spacing w:line="360" w:lineRule="auto"/>
              <w:rPr>
                <w:rFonts w:ascii="Times New Roman" w:hAnsi="Times New Roman" w:cs="Times New Roman"/>
                <w:bCs/>
                <w:color w:val="auto"/>
                <w:sz w:val="24"/>
              </w:rPr>
            </w:pPr>
          </w:p>
          <w:p>
            <w:pPr>
              <w:adjustRightInd w:val="0"/>
              <w:snapToGrid w:val="0"/>
              <w:spacing w:line="360" w:lineRule="auto"/>
              <w:rPr>
                <w:rFonts w:ascii="Times New Roman" w:hAnsi="Times New Roman" w:cs="Times New Roman"/>
                <w:bCs/>
                <w:color w:val="auto"/>
                <w:sz w:val="24"/>
              </w:rPr>
            </w:pPr>
          </w:p>
          <w:p>
            <w:pPr>
              <w:adjustRightInd w:val="0"/>
              <w:snapToGrid w:val="0"/>
              <w:spacing w:line="360" w:lineRule="auto"/>
              <w:rPr>
                <w:rFonts w:ascii="Times New Roman" w:hAnsi="Times New Roman" w:cs="Times New Roman"/>
                <w:bCs/>
                <w:color w:val="auto"/>
                <w:sz w:val="24"/>
              </w:rPr>
            </w:pPr>
          </w:p>
          <w:p>
            <w:pPr>
              <w:adjustRightInd w:val="0"/>
              <w:snapToGrid w:val="0"/>
              <w:spacing w:line="360" w:lineRule="auto"/>
              <w:rPr>
                <w:rFonts w:ascii="Times New Roman" w:hAnsi="Times New Roman" w:cs="Times New Roman"/>
                <w:bCs/>
                <w:color w:val="auto"/>
                <w:sz w:val="24"/>
              </w:rPr>
            </w:pPr>
          </w:p>
          <w:p>
            <w:pPr>
              <w:adjustRightInd w:val="0"/>
              <w:snapToGrid w:val="0"/>
              <w:spacing w:line="360" w:lineRule="auto"/>
              <w:rPr>
                <w:rFonts w:ascii="Times New Roman" w:hAnsi="Times New Roman" w:cs="Times New Roman"/>
                <w:bCs/>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833" w:hRule="atLeast"/>
          <w:jc w:val="center"/>
        </w:trPr>
        <w:tc>
          <w:tcPr>
            <w:tcW w:w="8980" w:type="dxa"/>
            <w:tcBorders>
              <w:top w:val="single" w:color="auto" w:sz="4" w:space="0"/>
              <w:bottom w:val="single" w:color="auto" w:sz="4" w:space="0"/>
            </w:tcBorders>
          </w:tcPr>
          <w:p>
            <w:pPr>
              <w:adjustRightInd w:val="0"/>
              <w:snapToGrid w:val="0"/>
              <w:spacing w:line="360" w:lineRule="auto"/>
              <w:rPr>
                <w:rFonts w:ascii="Times New Roman" w:hAnsi="Times New Roman" w:cs="Times New Roman"/>
                <w:color w:val="auto"/>
                <w:sz w:val="24"/>
              </w:rPr>
            </w:pPr>
            <w:r>
              <w:rPr>
                <w:rFonts w:ascii="Times New Roman" w:hAnsi="Times New Roman" w:cs="Times New Roman"/>
                <w:b/>
                <w:bCs/>
                <w:color w:val="auto"/>
                <w:sz w:val="24"/>
              </w:rPr>
              <w:t>社会环境简况(社会经济结构、教育、文化、文物保护等)：</w:t>
            </w:r>
          </w:p>
          <w:p>
            <w:pPr>
              <w:adjustRightInd w:val="0"/>
              <w:snapToGrid w:val="0"/>
              <w:spacing w:line="360" w:lineRule="auto"/>
              <w:ind w:firstLine="482" w:firstLineChars="200"/>
              <w:jc w:val="left"/>
              <w:rPr>
                <w:rFonts w:ascii="Times New Roman" w:hAnsi="Times New Roman" w:cs="Times New Roman"/>
                <w:b/>
                <w:color w:val="auto"/>
                <w:sz w:val="24"/>
              </w:rPr>
            </w:pPr>
            <w:r>
              <w:rPr>
                <w:rFonts w:ascii="Times New Roman" w:hAnsi="Times New Roman" w:cs="Times New Roman"/>
                <w:b/>
                <w:color w:val="auto"/>
                <w:sz w:val="24"/>
              </w:rPr>
              <w:t>一、经济</w:t>
            </w:r>
          </w:p>
          <w:p>
            <w:pPr>
              <w:adjustRightInd w:val="0"/>
              <w:snapToGrid w:val="0"/>
              <w:spacing w:line="360" w:lineRule="auto"/>
              <w:ind w:firstLine="480" w:firstLineChars="200"/>
              <w:jc w:val="left"/>
              <w:rPr>
                <w:rFonts w:ascii="Times New Roman" w:hAnsi="Times New Roman" w:cs="Times New Roman"/>
                <w:color w:val="auto"/>
                <w:sz w:val="24"/>
              </w:rPr>
            </w:pPr>
            <w:r>
              <w:rPr>
                <w:rFonts w:hint="eastAsia" w:ascii="Times New Roman" w:hAnsi="Times New Roman" w:cs="Times New Roman"/>
                <w:color w:val="auto"/>
                <w:sz w:val="24"/>
              </w:rPr>
              <w:t>2016年，全市实现地区生产总值（GDP）1377.74亿元，按可比价格计算，比上年增长6.7%。按户籍人口计算人均生产总值12.72万元。按常住人口计算人均生产总值10.99万元，按年末汇率折算达1.58万美元。位列第十六届全国县域经济与县域基本竞争力百强县第六位。</w:t>
            </w:r>
          </w:p>
          <w:p>
            <w:pPr>
              <w:adjustRightInd w:val="0"/>
              <w:snapToGrid w:val="0"/>
              <w:spacing w:line="360" w:lineRule="auto"/>
              <w:ind w:firstLine="480" w:firstLineChars="200"/>
              <w:jc w:val="left"/>
              <w:rPr>
                <w:rFonts w:hint="eastAsia" w:ascii="Times New Roman" w:hAnsi="Times New Roman" w:cs="Times New Roman"/>
                <w:color w:val="auto"/>
                <w:sz w:val="24"/>
              </w:rPr>
            </w:pPr>
            <w:r>
              <w:rPr>
                <w:rFonts w:hint="eastAsia" w:ascii="Times New Roman" w:hAnsi="Times New Roman" w:cs="Times New Roman"/>
                <w:color w:val="auto"/>
                <w:sz w:val="24"/>
              </w:rPr>
              <w:t>全市实现第一产业增加值48.74亿元，下降3.7%；第二产业增加值709.51亿元，增长7.3%；第三产业增加值619.49亿元，增长7.0%。三次产业增加值比例调整为3.5：51.5：45.0，第三产业比重比上年提高0.2个百分点。</w:t>
            </w:r>
          </w:p>
          <w:p>
            <w:pPr>
              <w:adjustRightInd w:val="0"/>
              <w:snapToGrid w:val="0"/>
              <w:spacing w:line="360" w:lineRule="auto"/>
              <w:ind w:firstLine="480" w:firstLineChars="200"/>
              <w:jc w:val="left"/>
              <w:rPr>
                <w:rFonts w:hint="eastAsia" w:ascii="Times New Roman" w:hAnsi="Times New Roman" w:cs="Times New Roman"/>
                <w:color w:val="auto"/>
                <w:sz w:val="24"/>
              </w:rPr>
            </w:pPr>
            <w:r>
              <w:rPr>
                <w:rFonts w:hint="eastAsia" w:ascii="Times New Roman" w:hAnsi="Times New Roman" w:cs="Times New Roman"/>
                <w:color w:val="auto"/>
                <w:sz w:val="24"/>
              </w:rPr>
              <w:t>全市一般公共预算收入完成108.65亿元，比上年增长6.0%。其中：税收收入91.21亿元，比上年增长5.0%。全年公共财政预算支出117.42亿元，比上年增长7.6%。全年民生支出占一般公共预算支出比重达74%。</w:t>
            </w:r>
          </w:p>
          <w:p>
            <w:pPr>
              <w:adjustRightInd w:val="0"/>
              <w:snapToGrid w:val="0"/>
              <w:spacing w:line="360" w:lineRule="auto"/>
              <w:ind w:firstLine="480" w:firstLineChars="200"/>
              <w:jc w:val="left"/>
              <w:rPr>
                <w:rFonts w:hint="eastAsia" w:ascii="Times New Roman" w:hAnsi="Times New Roman" w:cs="Times New Roman"/>
                <w:color w:val="auto"/>
                <w:sz w:val="24"/>
              </w:rPr>
            </w:pPr>
            <w:r>
              <w:rPr>
                <w:rFonts w:hint="eastAsia" w:ascii="Times New Roman" w:hAnsi="Times New Roman" w:cs="Times New Roman"/>
                <w:color w:val="auto"/>
                <w:sz w:val="24"/>
              </w:rPr>
              <w:t>全年新增就业岗位3.2万个，城镇新增就业人员1.87万人，帮助城镇失业人员再就业5850人，援助就业困难人员再就业1162人。扶持自主创业1960人。全市城镇登记失业率为2.2%。</w:t>
            </w:r>
          </w:p>
          <w:p>
            <w:pPr>
              <w:adjustRightInd w:val="0"/>
              <w:snapToGrid w:val="0"/>
              <w:spacing w:line="360" w:lineRule="auto"/>
              <w:ind w:firstLine="480" w:firstLineChars="200"/>
              <w:jc w:val="left"/>
              <w:rPr>
                <w:rFonts w:hint="eastAsia" w:ascii="Times New Roman" w:hAnsi="Times New Roman" w:cs="Times New Roman"/>
                <w:color w:val="auto"/>
                <w:sz w:val="24"/>
              </w:rPr>
            </w:pPr>
            <w:r>
              <w:rPr>
                <w:rFonts w:hint="eastAsia" w:ascii="Times New Roman" w:hAnsi="Times New Roman" w:cs="Times New Roman"/>
                <w:color w:val="auto"/>
                <w:sz w:val="24"/>
              </w:rPr>
              <w:t>全年居民消费价格指数为101.7，比上年提升0.3个百分点。其中，服务项目价格指数为101.5，比上年提升0.6个百分点；消费品价格指数为101.7，与上年持平；商品零售价格指数为101.5，比上年提升0.9个百分点。</w:t>
            </w:r>
          </w:p>
          <w:p>
            <w:pPr>
              <w:adjustRightInd w:val="0"/>
              <w:snapToGrid w:val="0"/>
              <w:spacing w:line="360" w:lineRule="auto"/>
              <w:ind w:firstLine="482" w:firstLineChars="200"/>
              <w:jc w:val="left"/>
              <w:rPr>
                <w:rFonts w:ascii="Times New Roman" w:hAnsi="Times New Roman" w:cs="Times New Roman"/>
                <w:b/>
                <w:color w:val="auto"/>
                <w:sz w:val="24"/>
              </w:rPr>
            </w:pPr>
            <w:r>
              <w:rPr>
                <w:rFonts w:ascii="Times New Roman" w:hAnsi="Times New Roman" w:cs="Times New Roman"/>
                <w:b/>
                <w:color w:val="auto"/>
                <w:sz w:val="24"/>
              </w:rPr>
              <w:t>二、交通运输</w:t>
            </w:r>
          </w:p>
          <w:p>
            <w:pPr>
              <w:adjustRightInd w:val="0"/>
              <w:snapToGrid w:val="0"/>
              <w:spacing w:line="360" w:lineRule="auto"/>
              <w:ind w:firstLine="480" w:firstLineChars="200"/>
              <w:jc w:val="left"/>
              <w:rPr>
                <w:rFonts w:ascii="Times New Roman" w:hAnsi="Times New Roman" w:cs="Times New Roman"/>
                <w:color w:val="auto"/>
                <w:sz w:val="24"/>
              </w:rPr>
            </w:pPr>
            <w:r>
              <w:rPr>
                <w:rFonts w:ascii="Times New Roman" w:hAnsi="Times New Roman" w:cs="Times New Roman"/>
                <w:color w:val="auto"/>
                <w:sz w:val="24"/>
              </w:rPr>
              <w:t>交通运输加快发展。104国道洑东段、蜀浦路、环科大道顺利通车，范蠡大道、云岭路有序推进，范蠡大桥正式合龙，宁杭高速东互通、锡溧漕河整治二期工程如期开工。丁蜀客运站落成启用，150公里农村道路完成标准化改造。年末公路通车里程2448公里，比上年增加83公里，增长3.5%。内河航道里程614公里，与上年持平。</w:t>
            </w:r>
          </w:p>
          <w:p>
            <w:pPr>
              <w:adjustRightInd w:val="0"/>
              <w:snapToGrid w:val="0"/>
              <w:spacing w:line="360" w:lineRule="auto"/>
              <w:ind w:firstLine="482" w:firstLineChars="200"/>
              <w:jc w:val="left"/>
              <w:rPr>
                <w:rFonts w:ascii="Times New Roman" w:hAnsi="Times New Roman" w:cs="Times New Roman"/>
                <w:b/>
                <w:color w:val="auto"/>
                <w:sz w:val="24"/>
              </w:rPr>
            </w:pPr>
            <w:r>
              <w:rPr>
                <w:rFonts w:hint="eastAsia" w:ascii="Times New Roman" w:hAnsi="Times New Roman" w:cs="Times New Roman"/>
                <w:b/>
                <w:color w:val="auto"/>
                <w:sz w:val="24"/>
              </w:rPr>
              <w:t>三</w:t>
            </w:r>
            <w:r>
              <w:rPr>
                <w:rFonts w:ascii="Times New Roman" w:hAnsi="Times New Roman" w:cs="Times New Roman"/>
                <w:b/>
                <w:color w:val="auto"/>
                <w:sz w:val="24"/>
              </w:rPr>
              <w:t>、科学技术和教育</w:t>
            </w:r>
          </w:p>
          <w:p>
            <w:pPr>
              <w:adjustRightInd w:val="0"/>
              <w:snapToGrid w:val="0"/>
              <w:spacing w:line="360" w:lineRule="auto"/>
              <w:ind w:firstLine="480" w:firstLineChars="200"/>
              <w:jc w:val="left"/>
              <w:rPr>
                <w:rFonts w:hint="eastAsia" w:ascii="Times New Roman" w:hAnsi="Times New Roman" w:cs="Times New Roman"/>
                <w:color w:val="auto"/>
                <w:sz w:val="24"/>
              </w:rPr>
            </w:pPr>
            <w:r>
              <w:rPr>
                <w:rFonts w:hint="eastAsia" w:ascii="Times New Roman" w:hAnsi="Times New Roman" w:cs="Times New Roman"/>
                <w:color w:val="auto"/>
                <w:sz w:val="24"/>
              </w:rPr>
              <w:t>2016年末全市拥有各类专业技术人员133834人，比上年增加4515人，增长3.5%。其中：高级职称6856人、中级职称26950人、初级职称80732人，分别增长5.8%、4.9%和3.7%。</w:t>
            </w:r>
          </w:p>
          <w:p>
            <w:pPr>
              <w:adjustRightInd w:val="0"/>
              <w:snapToGrid w:val="0"/>
              <w:spacing w:line="360" w:lineRule="auto"/>
              <w:ind w:firstLine="480" w:firstLineChars="200"/>
              <w:jc w:val="left"/>
              <w:rPr>
                <w:rFonts w:hint="eastAsia" w:ascii="Times New Roman" w:hAnsi="Times New Roman" w:cs="Times New Roman"/>
                <w:color w:val="auto"/>
                <w:sz w:val="24"/>
              </w:rPr>
            </w:pPr>
            <w:r>
              <w:rPr>
                <w:rFonts w:hint="eastAsia" w:ascii="Times New Roman" w:hAnsi="Times New Roman" w:cs="Times New Roman"/>
                <w:color w:val="auto"/>
                <w:sz w:val="24"/>
              </w:rPr>
              <w:t>全年组织实施市级以上各类科技项目326项，其中国家级1项、省级255项、无锡市级5项、宜兴市级65项。全年受理专利申请总量7354件，增长25.5%。累计专利申请总量47272件，增长18.4%；当年专利授权总量3305件，增长11.1%。累计专利授权总量28427件，增长13.2%。万人发明专利拥有量16.3件。高新技术产业产值占规模以上工业总产值比重达39.5%，研发经费支出占GDP比重达3.0%。每万劳动力中研发人员数达105人。新增高新技术企业47家，高新技术企业增至303家；新增高新技术产品数231项；组织实施产学研合作项目173项。</w:t>
            </w:r>
          </w:p>
          <w:p>
            <w:pPr>
              <w:adjustRightInd w:val="0"/>
              <w:snapToGrid w:val="0"/>
              <w:spacing w:line="360" w:lineRule="auto"/>
              <w:ind w:firstLine="480" w:firstLineChars="200"/>
              <w:jc w:val="left"/>
              <w:rPr>
                <w:rFonts w:hint="eastAsia" w:ascii="Times New Roman" w:hAnsi="Times New Roman" w:cs="Times New Roman"/>
                <w:color w:val="auto"/>
                <w:sz w:val="24"/>
              </w:rPr>
            </w:pPr>
            <w:r>
              <w:rPr>
                <w:rFonts w:hint="eastAsia" w:ascii="Times New Roman" w:hAnsi="Times New Roman" w:cs="Times New Roman"/>
                <w:color w:val="auto"/>
                <w:sz w:val="24"/>
              </w:rPr>
              <w:t>全市有普通高中8所，招生4444人，在校学生13481人；普通初中34所，招生9856人，在校学生27799人；小学56所，招生10357人，在校学生60403人；幼儿园82所，入园幼儿10949人，在园幼儿29295人。中等技术学校4所，招生2680人，在校学生7964人；特殊教育学校1所，招生10人，在校学生165人。全市4931人参加高考，本科录取3385人，本科录取率68.6%。</w:t>
            </w:r>
          </w:p>
          <w:p>
            <w:pPr>
              <w:adjustRightInd w:val="0"/>
              <w:snapToGrid w:val="0"/>
              <w:spacing w:line="360" w:lineRule="auto"/>
              <w:ind w:firstLine="482" w:firstLineChars="200"/>
              <w:jc w:val="left"/>
              <w:rPr>
                <w:rFonts w:ascii="Times New Roman" w:hAnsi="Times New Roman" w:cs="Times New Roman"/>
                <w:b/>
                <w:color w:val="auto"/>
                <w:sz w:val="24"/>
              </w:rPr>
            </w:pPr>
            <w:r>
              <w:rPr>
                <w:rFonts w:hint="eastAsia" w:ascii="Times New Roman" w:hAnsi="Times New Roman" w:cs="Times New Roman"/>
                <w:b/>
                <w:color w:val="auto"/>
                <w:sz w:val="24"/>
              </w:rPr>
              <w:t>四</w:t>
            </w:r>
            <w:r>
              <w:rPr>
                <w:rFonts w:ascii="Times New Roman" w:hAnsi="Times New Roman" w:cs="Times New Roman"/>
                <w:b/>
                <w:color w:val="auto"/>
                <w:sz w:val="24"/>
              </w:rPr>
              <w:t>、文化、卫生、体育</w:t>
            </w:r>
          </w:p>
          <w:p>
            <w:pPr>
              <w:adjustRightInd w:val="0"/>
              <w:snapToGrid w:val="0"/>
              <w:spacing w:line="360" w:lineRule="auto"/>
              <w:ind w:firstLine="480" w:firstLineChars="200"/>
              <w:jc w:val="left"/>
              <w:rPr>
                <w:rFonts w:ascii="Times New Roman" w:hAnsi="Times New Roman" w:cs="Times New Roman"/>
                <w:color w:val="auto"/>
                <w:sz w:val="24"/>
              </w:rPr>
            </w:pPr>
            <w:r>
              <w:rPr>
                <w:rFonts w:hint="eastAsia" w:ascii="Times New Roman" w:hAnsi="Times New Roman" w:cs="Times New Roman"/>
                <w:color w:val="auto"/>
                <w:sz w:val="24"/>
              </w:rPr>
              <w:t>全年送电影下乡3200场，送戏下乡160场，文化馆小剧场奉献不同剧种演出304场。年末共有市级艺术表演团体1个，文化站（馆）18个；市级公共图书馆1个，藏书87.36万册；电影放映单位14个，放映场次9.2万次，票房收入8380万元。随着保利大剧院、博物馆、美术馆相继开馆，文化中心全面探索运营，完成文艺演出、文化讲座、展览培训、读书沙龙等文化活动近200场，各场馆到馆总人流量超过100万人次。</w:t>
            </w:r>
          </w:p>
          <w:p>
            <w:pPr>
              <w:adjustRightInd w:val="0"/>
              <w:snapToGrid w:val="0"/>
              <w:spacing w:line="360" w:lineRule="auto"/>
              <w:ind w:firstLine="480" w:firstLineChars="200"/>
              <w:jc w:val="left"/>
              <w:rPr>
                <w:rFonts w:ascii="Times New Roman" w:hAnsi="Times New Roman" w:cs="Times New Roman"/>
                <w:color w:val="auto"/>
                <w:sz w:val="24"/>
              </w:rPr>
            </w:pPr>
            <w:r>
              <w:rPr>
                <w:rFonts w:hint="eastAsia" w:ascii="Times New Roman" w:hAnsi="Times New Roman" w:cs="Times New Roman"/>
                <w:color w:val="auto"/>
                <w:sz w:val="24"/>
              </w:rPr>
              <w:t>全市拥有医疗卫生机构517个，编制床位数4963张。全市有卫生技术人员9490人，其中执业医师3269人，执业助理医师439人，注册护士3888人。卫生基础设施建设进一步加强，市精神卫生中心、120急救指挥中心、血站开工建设。市人民医院晋升三级甲等综合医院。</w:t>
            </w:r>
          </w:p>
          <w:p>
            <w:pPr>
              <w:adjustRightInd w:val="0"/>
              <w:snapToGrid w:val="0"/>
              <w:spacing w:line="360" w:lineRule="auto"/>
              <w:ind w:firstLine="480" w:firstLineChars="200"/>
              <w:jc w:val="left"/>
              <w:rPr>
                <w:rFonts w:ascii="Times New Roman" w:hAnsi="Times New Roman" w:cs="Times New Roman"/>
                <w:color w:val="auto"/>
                <w:sz w:val="24"/>
              </w:rPr>
            </w:pPr>
            <w:r>
              <w:rPr>
                <w:rFonts w:hint="eastAsia" w:ascii="Times New Roman" w:hAnsi="Times New Roman" w:cs="Times New Roman"/>
                <w:color w:val="auto"/>
                <w:sz w:val="24"/>
              </w:rPr>
              <w:t>全市有体育场5个、体育馆16个、游泳池47个。全年举办群众活动和赛事36次，其中市级及以上15次，县（市）级21次，参加竞赛活动人数达1.18万人次。在各种赛事中共获得国内外奖牌52枚，其中金牌17枚、银牌18枚、铜牌17枚。积极承办国际国内高水平体育赛事，着力推动体育与旅游、文化融合发展。全年承办中法男篮奥运会热身赛、国际滑水公开赛等国际赛事；全国越野行走公开赛、全国东西南北中羽毛球赛、第三届长三角运动休闲体验季宜兴站、宜兴OP帆板邀请赛、第19届太湖风筝节暨全国风筝精英赛等国内赛事。体育彩票销售首次超过5亿元，达到5.14亿元，同比增长39.0%。</w:t>
            </w:r>
          </w:p>
          <w:p>
            <w:pPr>
              <w:adjustRightInd w:val="0"/>
              <w:snapToGrid w:val="0"/>
              <w:spacing w:line="360" w:lineRule="auto"/>
              <w:ind w:firstLine="482" w:firstLineChars="200"/>
              <w:jc w:val="left"/>
              <w:rPr>
                <w:rFonts w:ascii="Times New Roman" w:hAnsi="Times New Roman" w:cs="Times New Roman"/>
                <w:b/>
                <w:color w:val="auto"/>
                <w:sz w:val="24"/>
              </w:rPr>
            </w:pPr>
            <w:r>
              <w:rPr>
                <w:rFonts w:hint="eastAsia" w:ascii="Times New Roman" w:hAnsi="Times New Roman" w:cs="Times New Roman"/>
                <w:b/>
                <w:color w:val="auto"/>
                <w:sz w:val="24"/>
              </w:rPr>
              <w:t>五</w:t>
            </w:r>
            <w:r>
              <w:rPr>
                <w:rFonts w:ascii="Times New Roman" w:hAnsi="Times New Roman" w:cs="Times New Roman"/>
                <w:b/>
                <w:color w:val="auto"/>
                <w:sz w:val="24"/>
              </w:rPr>
              <w:t>、人口、人民生活和社会保障</w:t>
            </w:r>
          </w:p>
          <w:p>
            <w:pPr>
              <w:adjustRightInd w:val="0"/>
              <w:snapToGrid w:val="0"/>
              <w:spacing w:line="360" w:lineRule="auto"/>
              <w:ind w:firstLine="480" w:firstLineChars="200"/>
              <w:jc w:val="left"/>
              <w:rPr>
                <w:rFonts w:ascii="Times New Roman" w:hAnsi="Times New Roman" w:cs="Times New Roman"/>
                <w:color w:val="auto"/>
                <w:sz w:val="24"/>
              </w:rPr>
            </w:pPr>
            <w:r>
              <w:rPr>
                <w:rFonts w:hint="eastAsia" w:ascii="Times New Roman" w:hAnsi="Times New Roman" w:cs="Times New Roman"/>
                <w:color w:val="auto"/>
                <w:sz w:val="24"/>
              </w:rPr>
              <w:t>2016年末全市户籍总人口108.34万人，比上年末增加0.05万人，其中城镇人口62.28万人。年末总户数37.6万户，平均每户家庭人口2.88人。全年出生人口9218人，出生率为8.51‰；死亡人口8108人，死亡率为7.49‰。人口自然增长率1.02‰。年末全市常住人口125.44万人，比上年末增加0.11万人。城市化水平为65.12%。</w:t>
            </w:r>
          </w:p>
          <w:p>
            <w:pPr>
              <w:adjustRightInd w:val="0"/>
              <w:snapToGrid w:val="0"/>
              <w:spacing w:line="360" w:lineRule="auto"/>
              <w:ind w:firstLine="480" w:firstLineChars="200"/>
              <w:jc w:val="left"/>
              <w:rPr>
                <w:rFonts w:ascii="Times New Roman" w:hAnsi="Times New Roman" w:cs="Times New Roman"/>
                <w:color w:val="auto"/>
                <w:sz w:val="24"/>
              </w:rPr>
            </w:pPr>
            <w:r>
              <w:rPr>
                <w:rFonts w:hint="eastAsia" w:ascii="Times New Roman" w:hAnsi="Times New Roman" w:cs="Times New Roman"/>
                <w:color w:val="auto"/>
                <w:sz w:val="24"/>
              </w:rPr>
              <w:t>全年全市居民人均可支配收入37326元，比上年增长8.5%。按常住地分，城镇居民人均可支配收入46092元，比上年增长7.8%；农村居民人均可支配收23709元，比上年增长8.2%。全市居民人均消费支出23968元，比上年增长8.4%。按常住地分，城镇居民人均消费支出28767元，增长7.1%；农村居民人均消费支出16771元，增长11.8%。居住条件继续改善。城镇居民人均住房建筑面积47.5平方米，农村居民人均住房建筑面积71.48平方米。</w:t>
            </w:r>
          </w:p>
          <w:p>
            <w:pPr>
              <w:adjustRightInd w:val="0"/>
              <w:snapToGrid w:val="0"/>
              <w:spacing w:line="360" w:lineRule="auto"/>
              <w:ind w:firstLine="480" w:firstLineChars="200"/>
              <w:jc w:val="left"/>
              <w:rPr>
                <w:rFonts w:ascii="Times New Roman" w:hAnsi="Times New Roman" w:cs="Times New Roman"/>
                <w:color w:val="auto"/>
                <w:sz w:val="24"/>
              </w:rPr>
            </w:pPr>
            <w:r>
              <w:rPr>
                <w:rFonts w:hint="eastAsia" w:ascii="Times New Roman" w:hAnsi="Times New Roman" w:cs="Times New Roman"/>
                <w:color w:val="auto"/>
                <w:sz w:val="24"/>
              </w:rPr>
              <w:t>2016年末全市34.2万人参加基本养老保险，比上年增长1.4%；27.5万人参加失业保险，比上年增长1.9%；44.29万人参加企业职工基本医疗保险，比上年增长0.8%；44.76万人参加城乡居民医疗保险，比上年下降1.2%。福拥有城镇社区服务中心18个。国家抚恤、补助各类优抚对象6629人。全年销售福利彩票3.69亿元。全年慈善机构接收捐赠款6153.4万元，其中慈善“一日捐”708.47万元，定向捐款2832.05万元，企业认捐到帐1828.3万元。市慈善会救助困难群众、学生6.52万人次，救助支出3981.62万元。</w:t>
            </w:r>
          </w:p>
          <w:p>
            <w:pPr>
              <w:adjustRightInd w:val="0"/>
              <w:snapToGrid w:val="0"/>
              <w:spacing w:line="360" w:lineRule="auto"/>
              <w:ind w:firstLine="482" w:firstLineChars="200"/>
              <w:jc w:val="left"/>
              <w:rPr>
                <w:rFonts w:ascii="Times New Roman" w:hAnsi="Times New Roman" w:cs="Times New Roman"/>
                <w:b/>
                <w:color w:val="auto"/>
                <w:sz w:val="24"/>
              </w:rPr>
            </w:pPr>
            <w:r>
              <w:rPr>
                <w:rFonts w:hint="eastAsia" w:ascii="Times New Roman" w:hAnsi="Times New Roman" w:cs="Times New Roman"/>
                <w:b/>
                <w:color w:val="auto"/>
                <w:sz w:val="24"/>
              </w:rPr>
              <w:t>六</w:t>
            </w:r>
            <w:r>
              <w:rPr>
                <w:rFonts w:ascii="Times New Roman" w:hAnsi="Times New Roman" w:cs="Times New Roman"/>
                <w:b/>
                <w:color w:val="auto"/>
                <w:sz w:val="24"/>
              </w:rPr>
              <w:t>、环境</w:t>
            </w:r>
            <w:r>
              <w:rPr>
                <w:rFonts w:hint="eastAsia" w:ascii="Times New Roman" w:hAnsi="Times New Roman" w:cs="Times New Roman"/>
                <w:b/>
                <w:color w:val="auto"/>
                <w:sz w:val="24"/>
                <w:lang w:eastAsia="zh-CN"/>
              </w:rPr>
              <w:t>保护</w:t>
            </w:r>
          </w:p>
          <w:p>
            <w:pPr>
              <w:adjustRightInd w:val="0"/>
              <w:snapToGrid w:val="0"/>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rPr>
              <w:t>重点整治省定9条入湖河道，扎实推进治太保源“四大专项行动”，劣Ⅴ类河道全面消除，对农村河道进行新一轮疏浚，19个国省考断面达到阶段性水质目标；城乡环境稳步提升。连续开展民生环保专项行动，强化重点区域气味、噪声、烟尘粉尘等污染治理，对不合格企业实施综合整治，淘汰高污染燃料锅炉，秸秆禁烧保持常态。通过大气污染治理和推进民生环保工程，全市PM2.5年均浓度同比下降10.0%。</w:t>
            </w:r>
          </w:p>
          <w:p>
            <w:pPr>
              <w:adjustRightInd w:val="0"/>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rPr>
              <w:t>根据城市总体规划，丁蜀污水处理厂选址在丁蜀镇蠡河路、青云河交叉口东北侧，规划用地</w:t>
            </w:r>
            <w:r>
              <w:rPr>
                <w:rFonts w:ascii="ËÎÌå" w:hAnsi="ËÎÌå" w:eastAsia="ËÎÌå"/>
                <w:color w:val="auto"/>
                <w:sz w:val="24"/>
              </w:rPr>
              <w:t>43</w:t>
            </w:r>
            <w:r>
              <w:rPr>
                <w:rFonts w:hint="eastAsia" w:ascii="宋体" w:hAnsi="宋体" w:eastAsia="宋体"/>
                <w:color w:val="auto"/>
                <w:sz w:val="24"/>
              </w:rPr>
              <w:t>亩。建设规模为</w:t>
            </w:r>
            <w:r>
              <w:rPr>
                <w:rFonts w:ascii="ËÎÌå" w:hAnsi="ËÎÌå" w:eastAsia="ËÎÌå"/>
                <w:color w:val="auto"/>
                <w:sz w:val="24"/>
              </w:rPr>
              <w:t>2.5</w:t>
            </w:r>
            <w:r>
              <w:rPr>
                <w:rFonts w:hint="eastAsia" w:ascii="宋体" w:hAnsi="宋体" w:eastAsia="宋体"/>
                <w:color w:val="auto"/>
                <w:sz w:val="24"/>
              </w:rPr>
              <w:t>万</w:t>
            </w:r>
            <w:r>
              <w:rPr>
                <w:rFonts w:ascii="ËÎÌå" w:hAnsi="ËÎÌå" w:eastAsia="ËÎÌå"/>
                <w:color w:val="auto"/>
                <w:sz w:val="24"/>
              </w:rPr>
              <w:t>t/d</w:t>
            </w:r>
            <w:r>
              <w:rPr>
                <w:rFonts w:hint="eastAsia" w:ascii="宋体" w:hAnsi="宋体" w:eastAsia="宋体"/>
                <w:color w:val="auto"/>
                <w:sz w:val="24"/>
              </w:rPr>
              <w:t>，项目总投资概算</w:t>
            </w:r>
            <w:r>
              <w:rPr>
                <w:rFonts w:ascii="ËÎÌå" w:hAnsi="ËÎÌå" w:eastAsia="ËÎÌå"/>
                <w:color w:val="auto"/>
                <w:sz w:val="24"/>
              </w:rPr>
              <w:t>6000</w:t>
            </w:r>
            <w:r>
              <w:rPr>
                <w:rFonts w:hint="eastAsia" w:ascii="宋体" w:hAnsi="宋体" w:eastAsia="宋体"/>
                <w:color w:val="auto"/>
                <w:sz w:val="24"/>
              </w:rPr>
              <w:t>万元，其中一期一阶段（</w:t>
            </w:r>
            <w:r>
              <w:rPr>
                <w:rFonts w:ascii="ËÎÌå" w:hAnsi="ËÎÌå" w:eastAsia="ËÎÌå"/>
                <w:color w:val="auto"/>
                <w:sz w:val="24"/>
              </w:rPr>
              <w:t>1</w:t>
            </w:r>
            <w:r>
              <w:rPr>
                <w:rFonts w:hint="eastAsia" w:ascii="宋体" w:hAnsi="宋体" w:eastAsia="宋体"/>
                <w:color w:val="auto"/>
                <w:sz w:val="24"/>
              </w:rPr>
              <w:t>万</w:t>
            </w:r>
            <w:r>
              <w:rPr>
                <w:rFonts w:ascii="ËÎÌå" w:hAnsi="ËÎÌå" w:eastAsia="ËÎÌå"/>
                <w:color w:val="auto"/>
                <w:sz w:val="24"/>
              </w:rPr>
              <w:t>t/d</w:t>
            </w:r>
            <w:r>
              <w:rPr>
                <w:rFonts w:hint="eastAsia" w:ascii="宋体" w:hAnsi="宋体" w:eastAsia="宋体"/>
                <w:color w:val="auto"/>
                <w:sz w:val="24"/>
              </w:rPr>
              <w:t>）项目于</w:t>
            </w:r>
            <w:r>
              <w:rPr>
                <w:rFonts w:ascii="ËÎÌå" w:hAnsi="ËÎÌå" w:eastAsia="ËÎÌå"/>
                <w:color w:val="auto"/>
                <w:sz w:val="24"/>
              </w:rPr>
              <w:t>2009</w:t>
            </w:r>
            <w:r>
              <w:rPr>
                <w:rFonts w:hint="eastAsia" w:ascii="宋体" w:hAnsi="宋体" w:eastAsia="宋体"/>
                <w:color w:val="auto"/>
                <w:sz w:val="24"/>
              </w:rPr>
              <w:t>年</w:t>
            </w:r>
            <w:r>
              <w:rPr>
                <w:rFonts w:ascii="ËÎÌå" w:hAnsi="ËÎÌå" w:eastAsia="ËÎÌå"/>
                <w:color w:val="auto"/>
                <w:sz w:val="24"/>
              </w:rPr>
              <w:t>10</w:t>
            </w:r>
            <w:r>
              <w:rPr>
                <w:rFonts w:hint="eastAsia" w:ascii="宋体" w:hAnsi="宋体" w:eastAsia="宋体"/>
                <w:color w:val="auto"/>
                <w:sz w:val="24"/>
              </w:rPr>
              <w:t>月通过三同时验收，二阶段（</w:t>
            </w:r>
            <w:r>
              <w:rPr>
                <w:rFonts w:ascii="ËÎÌå" w:hAnsi="ËÎÌå" w:eastAsia="ËÎÌå"/>
                <w:color w:val="auto"/>
                <w:sz w:val="24"/>
              </w:rPr>
              <w:t>1.5</w:t>
            </w:r>
            <w:r>
              <w:rPr>
                <w:rFonts w:hint="eastAsia" w:ascii="宋体" w:hAnsi="宋体" w:eastAsia="宋体"/>
                <w:color w:val="auto"/>
                <w:sz w:val="24"/>
              </w:rPr>
              <w:t>万</w:t>
            </w:r>
            <w:r>
              <w:rPr>
                <w:rFonts w:ascii="ËÎÌå" w:hAnsi="ËÎÌå" w:eastAsia="ËÎÌå"/>
                <w:color w:val="auto"/>
                <w:sz w:val="24"/>
              </w:rPr>
              <w:t>t/d</w:t>
            </w:r>
            <w:r>
              <w:rPr>
                <w:rFonts w:hint="eastAsia" w:ascii="宋体" w:hAnsi="宋体" w:eastAsia="宋体"/>
                <w:color w:val="auto"/>
                <w:sz w:val="24"/>
              </w:rPr>
              <w:t>）项目于</w:t>
            </w:r>
            <w:r>
              <w:rPr>
                <w:rFonts w:ascii="ËÎÌå" w:hAnsi="ËÎÌå" w:eastAsia="ËÎÌå"/>
                <w:color w:val="auto"/>
                <w:sz w:val="24"/>
              </w:rPr>
              <w:t>2012</w:t>
            </w:r>
            <w:r>
              <w:rPr>
                <w:rFonts w:hint="eastAsia" w:ascii="宋体" w:hAnsi="宋体" w:eastAsia="宋体"/>
                <w:color w:val="auto"/>
                <w:sz w:val="24"/>
              </w:rPr>
              <w:t>年</w:t>
            </w:r>
            <w:r>
              <w:rPr>
                <w:rFonts w:ascii="ËÎÌå" w:hAnsi="ËÎÌå" w:eastAsia="ËÎÌå"/>
                <w:color w:val="auto"/>
                <w:sz w:val="24"/>
              </w:rPr>
              <w:t>2</w:t>
            </w:r>
            <w:r>
              <w:rPr>
                <w:rFonts w:hint="eastAsia" w:ascii="宋体" w:hAnsi="宋体" w:eastAsia="宋体"/>
                <w:color w:val="auto"/>
                <w:sz w:val="24"/>
              </w:rPr>
              <w:t>月通过三同时验收。目前处理能力为</w:t>
            </w:r>
            <w:r>
              <w:rPr>
                <w:rFonts w:ascii="ËÎÌå" w:hAnsi="ËÎÌå" w:eastAsia="ËÎÌå"/>
                <w:color w:val="auto"/>
                <w:sz w:val="24"/>
              </w:rPr>
              <w:t>2.5</w:t>
            </w:r>
            <w:r>
              <w:rPr>
                <w:rFonts w:hint="eastAsia" w:ascii="宋体" w:hAnsi="宋体" w:eastAsia="宋体"/>
                <w:color w:val="auto"/>
                <w:sz w:val="24"/>
              </w:rPr>
              <w:t>万</w:t>
            </w:r>
            <w:r>
              <w:rPr>
                <w:rFonts w:ascii="ËÎÌå" w:hAnsi="ËÎÌå" w:eastAsia="ËÎÌå"/>
                <w:color w:val="auto"/>
                <w:sz w:val="24"/>
              </w:rPr>
              <w:t>t/d</w:t>
            </w:r>
            <w:r>
              <w:rPr>
                <w:rFonts w:hint="eastAsia" w:ascii="宋体" w:hAnsi="宋体" w:eastAsia="宋体"/>
                <w:color w:val="auto"/>
                <w:sz w:val="24"/>
              </w:rPr>
              <w:t>，目前实际处理量约</w:t>
            </w:r>
            <w:r>
              <w:rPr>
                <w:rFonts w:ascii="ËÎÌå" w:hAnsi="ËÎÌå" w:eastAsia="ËÎÌå"/>
                <w:color w:val="auto"/>
                <w:sz w:val="24"/>
              </w:rPr>
              <w:t>2.0</w:t>
            </w:r>
            <w:r>
              <w:rPr>
                <w:rFonts w:hint="eastAsia" w:ascii="宋体" w:hAnsi="宋体" w:eastAsia="宋体"/>
                <w:color w:val="auto"/>
                <w:sz w:val="24"/>
              </w:rPr>
              <w:t>万</w:t>
            </w:r>
            <w:r>
              <w:rPr>
                <w:rFonts w:ascii="ËÎÌå" w:hAnsi="ËÎÌå" w:eastAsia="ËÎÌå"/>
                <w:color w:val="auto"/>
                <w:sz w:val="24"/>
              </w:rPr>
              <w:t>t/d</w:t>
            </w:r>
            <w:r>
              <w:rPr>
                <w:rFonts w:hint="eastAsia" w:ascii="宋体" w:hAnsi="宋体" w:eastAsia="宋体"/>
                <w:color w:val="auto"/>
                <w:sz w:val="24"/>
              </w:rPr>
              <w:t>。污水收集范围覆盖丁蜀城区及陶瓷产业园区，在处理城市生活污水的同时，处理工业污水。污水处理工艺采用前置反硝化曝气生物滤池工艺，建设标准已按照上级关于太湖水污染防治工作新的要求，在原设计并经批准的《城镇污水处理厂污染物排放标准》（</w:t>
            </w:r>
            <w:r>
              <w:rPr>
                <w:rFonts w:ascii="ËÎÌå" w:hAnsi="ËÎÌå" w:eastAsia="ËÎÌå"/>
                <w:color w:val="auto"/>
                <w:sz w:val="24"/>
              </w:rPr>
              <w:t>GB18918</w:t>
            </w:r>
            <w:r>
              <w:rPr>
                <w:rFonts w:hint="eastAsia" w:ascii="宋体" w:hAnsi="宋体" w:eastAsia="宋体"/>
                <w:color w:val="auto"/>
                <w:sz w:val="24"/>
              </w:rPr>
              <w:t>—</w:t>
            </w:r>
            <w:r>
              <w:rPr>
                <w:rFonts w:ascii="ËÎÌå" w:hAnsi="ËÎÌå" w:eastAsia="ËÎÌå"/>
                <w:color w:val="auto"/>
                <w:sz w:val="24"/>
              </w:rPr>
              <w:t>2002</w:t>
            </w:r>
            <w:r>
              <w:rPr>
                <w:rFonts w:hint="eastAsia" w:ascii="宋体" w:hAnsi="宋体" w:eastAsia="宋体"/>
                <w:color w:val="auto"/>
                <w:sz w:val="24"/>
              </w:rPr>
              <w:t>）一级</w:t>
            </w:r>
            <w:r>
              <w:rPr>
                <w:rFonts w:ascii="ËÎÌå" w:hAnsi="ËÎÌå" w:eastAsia="ËÎÌå"/>
                <w:color w:val="auto"/>
                <w:sz w:val="24"/>
              </w:rPr>
              <w:t>B</w:t>
            </w:r>
            <w:r>
              <w:rPr>
                <w:rFonts w:hint="eastAsia" w:ascii="宋体" w:hAnsi="宋体" w:eastAsia="宋体"/>
                <w:color w:val="auto"/>
                <w:sz w:val="24"/>
              </w:rPr>
              <w:t>标准基础上，调整设计执行一级</w:t>
            </w:r>
            <w:r>
              <w:rPr>
                <w:rFonts w:ascii="ËÎÌå" w:hAnsi="ËÎÌå" w:eastAsia="ËÎÌå"/>
                <w:color w:val="auto"/>
                <w:sz w:val="24"/>
              </w:rPr>
              <w:t>A</w:t>
            </w:r>
            <w:r>
              <w:rPr>
                <w:rFonts w:hint="eastAsia" w:ascii="宋体" w:hAnsi="宋体" w:eastAsia="宋体"/>
                <w:color w:val="auto"/>
                <w:sz w:val="24"/>
              </w:rPr>
              <w:t>标准，尾水能够实现达标排放，处理工艺流程如图所示。宜兴市丁蜀镇华骐污水处理厂工艺流程图如下：</w:t>
            </w:r>
          </w:p>
          <w:p>
            <w:pPr>
              <w:adjustRightInd w:val="0"/>
              <w:snapToGrid w:val="0"/>
              <w:spacing w:line="360" w:lineRule="auto"/>
              <w:rPr>
                <w:rFonts w:ascii="宋体" w:hAnsi="宋体" w:eastAsia="宋体"/>
                <w:color w:val="auto"/>
                <w:sz w:val="24"/>
              </w:rPr>
            </w:pPr>
            <w:r>
              <w:rPr>
                <w:rFonts w:hint="eastAsia" w:ascii="宋体" w:hAnsi="宋体" w:eastAsia="宋体"/>
                <w:color w:val="auto"/>
                <w:sz w:val="24"/>
              </w:rPr>
              <w:drawing>
                <wp:inline distT="0" distB="0" distL="114300" distR="114300">
                  <wp:extent cx="0" cy="0"/>
                  <wp:effectExtent l="0" t="0" r="0" b="0"/>
                  <wp:docPr id="4" name="图片 4" descr="华骐污水处理厂工艺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华骐污水处理厂工艺流程"/>
                          <pic:cNvPicPr>
                            <a:picLocks noChangeAspect="1"/>
                          </pic:cNvPicPr>
                        </pic:nvPicPr>
                        <pic:blipFill>
                          <a:blip r:embed="rId5"/>
                          <a:stretch>
                            <a:fillRect/>
                          </a:stretch>
                        </pic:blipFill>
                        <pic:spPr>
                          <a:xfrm>
                            <a:off x="0" y="0"/>
                            <a:ext cx="0" cy="0"/>
                          </a:xfrm>
                          <a:prstGeom prst="rect">
                            <a:avLst/>
                          </a:prstGeom>
                        </pic:spPr>
                      </pic:pic>
                    </a:graphicData>
                  </a:graphic>
                </wp:inline>
              </w:drawing>
            </w:r>
            <w:r>
              <w:rPr>
                <w:rFonts w:hint="eastAsia" w:ascii="宋体" w:hAnsi="宋体" w:eastAsia="宋体"/>
                <w:color w:val="auto"/>
                <w:sz w:val="24"/>
              </w:rPr>
              <w:drawing>
                <wp:inline distT="0" distB="0" distL="114300" distR="114300">
                  <wp:extent cx="5945505" cy="2922905"/>
                  <wp:effectExtent l="0" t="0" r="17145" b="10795"/>
                  <wp:docPr id="5" name="图片 5" descr="华骐污水处理厂工艺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华骐污水处理厂工艺流程"/>
                          <pic:cNvPicPr>
                            <a:picLocks noChangeAspect="1"/>
                          </pic:cNvPicPr>
                        </pic:nvPicPr>
                        <pic:blipFill>
                          <a:blip r:embed="rId5"/>
                          <a:stretch>
                            <a:fillRect/>
                          </a:stretch>
                        </pic:blipFill>
                        <pic:spPr>
                          <a:xfrm>
                            <a:off x="0" y="0"/>
                            <a:ext cx="5945505" cy="2922905"/>
                          </a:xfrm>
                          <a:prstGeom prst="rect">
                            <a:avLst/>
                          </a:prstGeom>
                        </pic:spPr>
                      </pic:pic>
                    </a:graphicData>
                  </a:graphic>
                </wp:inline>
              </w:drawing>
            </w:r>
          </w:p>
          <w:p>
            <w:pPr>
              <w:adjustRightInd w:val="0"/>
              <w:snapToGrid w:val="0"/>
              <w:spacing w:line="360" w:lineRule="auto"/>
              <w:jc w:val="center"/>
              <w:rPr>
                <w:rFonts w:ascii="Times New Roman" w:hAnsi="Times New Roman" w:eastAsia="宋体" w:cs="Times New Roman"/>
                <w:b/>
                <w:bCs/>
                <w:color w:val="auto"/>
                <w:sz w:val="24"/>
              </w:rPr>
            </w:pPr>
            <w:r>
              <w:rPr>
                <w:rFonts w:ascii="Times New Roman" w:hAnsi="Times New Roman" w:eastAsia="宋体" w:cs="Times New Roman"/>
                <w:b/>
                <w:bCs/>
                <w:color w:val="auto"/>
                <w:sz w:val="24"/>
              </w:rPr>
              <w:t>图2-1  宜兴市丁蜀镇华骐污水处理厂工艺流程图</w:t>
            </w:r>
          </w:p>
          <w:p>
            <w:pPr>
              <w:adjustRightInd w:val="0"/>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rPr>
              <w:t>配套污水收集管网由丁蜀镇政府负责建设。一期总投资</w:t>
            </w:r>
            <w:r>
              <w:rPr>
                <w:rFonts w:ascii="ËÎÌå" w:hAnsi="ËÎÌå" w:eastAsia="ËÎÌå"/>
                <w:color w:val="auto"/>
                <w:sz w:val="24"/>
              </w:rPr>
              <w:t>6200</w:t>
            </w:r>
            <w:r>
              <w:rPr>
                <w:rFonts w:hint="eastAsia" w:ascii="宋体" w:hAnsi="宋体" w:eastAsia="宋体"/>
                <w:color w:val="auto"/>
                <w:sz w:val="24"/>
              </w:rPr>
              <w:t>万元，工程包括主管网、支管网和易个提升泵站建设，目前一期管网工程已全部完工，覆盖丁蜀镇城区</w:t>
            </w:r>
            <w:r>
              <w:rPr>
                <w:rFonts w:ascii="ËÎÌå" w:hAnsi="ËÎÌå" w:eastAsia="ËÎÌå"/>
                <w:color w:val="auto"/>
                <w:sz w:val="24"/>
              </w:rPr>
              <w:t>29</w:t>
            </w:r>
            <w:r>
              <w:rPr>
                <w:rFonts w:hint="eastAsia" w:ascii="宋体" w:hAnsi="宋体" w:eastAsia="宋体"/>
                <w:color w:val="auto"/>
                <w:sz w:val="24"/>
              </w:rPr>
              <w:t>个小区和产业园区近百家企业完成了纳管工作。</w:t>
            </w:r>
          </w:p>
          <w:p>
            <w:pPr>
              <w:adjustRightInd w:val="0"/>
              <w:snapToGrid w:val="0"/>
              <w:spacing w:line="360" w:lineRule="auto"/>
              <w:rPr>
                <w:rFonts w:ascii="宋体" w:hAnsi="宋体" w:eastAsia="宋体"/>
                <w:color w:val="auto"/>
                <w:sz w:val="24"/>
              </w:rPr>
            </w:pPr>
          </w:p>
          <w:p>
            <w:pPr>
              <w:adjustRightInd w:val="0"/>
              <w:snapToGrid w:val="0"/>
              <w:spacing w:line="360" w:lineRule="auto"/>
              <w:rPr>
                <w:rFonts w:ascii="宋体" w:hAnsi="宋体" w:eastAsia="宋体"/>
                <w:color w:val="auto"/>
                <w:sz w:val="24"/>
              </w:rPr>
            </w:pPr>
          </w:p>
          <w:p>
            <w:pPr>
              <w:adjustRightInd w:val="0"/>
              <w:snapToGrid w:val="0"/>
              <w:spacing w:line="360" w:lineRule="auto"/>
              <w:rPr>
                <w:rFonts w:ascii="宋体" w:hAnsi="宋体" w:eastAsia="宋体"/>
                <w:color w:val="auto"/>
                <w:sz w:val="24"/>
              </w:rPr>
            </w:pPr>
          </w:p>
          <w:p>
            <w:pPr>
              <w:adjustRightInd w:val="0"/>
              <w:snapToGrid w:val="0"/>
              <w:spacing w:line="360" w:lineRule="auto"/>
              <w:rPr>
                <w:rFonts w:ascii="宋体" w:hAnsi="宋体" w:eastAsia="宋体"/>
                <w:color w:val="auto"/>
                <w:sz w:val="24"/>
              </w:rPr>
            </w:pPr>
          </w:p>
          <w:p>
            <w:pPr>
              <w:adjustRightInd w:val="0"/>
              <w:snapToGrid w:val="0"/>
              <w:spacing w:line="360" w:lineRule="auto"/>
              <w:rPr>
                <w:rFonts w:ascii="宋体" w:hAnsi="宋体" w:eastAsia="宋体"/>
                <w:color w:val="auto"/>
                <w:sz w:val="24"/>
              </w:rPr>
            </w:pPr>
          </w:p>
          <w:p>
            <w:pPr>
              <w:adjustRightInd w:val="0"/>
              <w:snapToGrid w:val="0"/>
              <w:spacing w:line="360" w:lineRule="auto"/>
              <w:rPr>
                <w:rFonts w:ascii="宋体" w:hAnsi="宋体" w:eastAsia="宋体"/>
                <w:color w:val="auto"/>
                <w:sz w:val="24"/>
              </w:rPr>
            </w:pPr>
          </w:p>
          <w:p>
            <w:pPr>
              <w:adjustRightInd w:val="0"/>
              <w:snapToGrid w:val="0"/>
              <w:spacing w:line="360" w:lineRule="auto"/>
              <w:rPr>
                <w:rFonts w:ascii="宋体" w:hAnsi="宋体" w:eastAsia="宋体"/>
                <w:color w:val="auto"/>
                <w:sz w:val="24"/>
              </w:rPr>
            </w:pPr>
          </w:p>
          <w:p>
            <w:pPr>
              <w:adjustRightInd w:val="0"/>
              <w:snapToGrid w:val="0"/>
              <w:spacing w:line="360" w:lineRule="auto"/>
              <w:rPr>
                <w:rFonts w:ascii="宋体" w:hAnsi="宋体" w:eastAsia="宋体"/>
                <w:color w:val="auto"/>
                <w:sz w:val="24"/>
              </w:rPr>
            </w:pPr>
          </w:p>
          <w:p>
            <w:pPr>
              <w:adjustRightInd w:val="0"/>
              <w:snapToGrid w:val="0"/>
              <w:spacing w:line="360" w:lineRule="auto"/>
              <w:rPr>
                <w:rFonts w:ascii="宋体" w:hAnsi="宋体" w:eastAsia="宋体"/>
                <w:color w:val="auto"/>
                <w:sz w:val="24"/>
              </w:rPr>
            </w:pPr>
          </w:p>
          <w:p>
            <w:pPr>
              <w:adjustRightInd w:val="0"/>
              <w:snapToGrid w:val="0"/>
              <w:spacing w:line="360" w:lineRule="auto"/>
              <w:rPr>
                <w:rFonts w:ascii="宋体" w:hAnsi="宋体" w:eastAsia="宋体"/>
                <w:color w:val="auto"/>
                <w:sz w:val="24"/>
              </w:rPr>
            </w:pPr>
          </w:p>
        </w:tc>
      </w:tr>
    </w:tbl>
    <w:p>
      <w:pPr>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0"/>
        <w:adjustRightInd w:val="0"/>
        <w:snapToGrid w:val="0"/>
        <w:rPr>
          <w:color w:val="auto"/>
        </w:rPr>
      </w:pPr>
      <w:r>
        <w:rPr>
          <w:rFonts w:hint="eastAsia"/>
          <w:color w:val="auto"/>
        </w:rPr>
        <w:t>三、</w:t>
      </w:r>
      <w:r>
        <w:rPr>
          <w:color w:val="auto"/>
        </w:rPr>
        <w:t>环境质量状况</w:t>
      </w:r>
    </w:p>
    <w:tbl>
      <w:tblPr>
        <w:tblStyle w:val="16"/>
        <w:tblW w:w="8980" w:type="dxa"/>
        <w:jc w:val="center"/>
        <w:tblInd w:w="-7"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98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45" w:hRule="atLeast"/>
          <w:jc w:val="center"/>
        </w:trPr>
        <w:tc>
          <w:tcPr>
            <w:tcW w:w="8980" w:type="dxa"/>
            <w:tcBorders>
              <w:top w:val="single" w:color="auto" w:sz="4" w:space="0"/>
              <w:bottom w:val="single" w:color="auto" w:sz="4" w:space="0"/>
            </w:tcBorders>
          </w:tcPr>
          <w:p>
            <w:pPr>
              <w:adjustRightInd w:val="0"/>
              <w:snapToGrid w:val="0"/>
              <w:spacing w:line="360" w:lineRule="auto"/>
              <w:rPr>
                <w:rFonts w:ascii="Times New Roman" w:hAnsi="Times New Roman" w:cs="Times New Roman"/>
                <w:b/>
                <w:bCs/>
                <w:color w:val="auto"/>
                <w:sz w:val="24"/>
              </w:rPr>
            </w:pPr>
            <w:r>
              <w:rPr>
                <w:rFonts w:ascii="Times New Roman" w:hAnsi="Times New Roman" w:cs="Times New Roman"/>
                <w:b/>
                <w:bCs/>
                <w:color w:val="auto"/>
                <w:sz w:val="24"/>
              </w:rPr>
              <w:t>建设项目所在地区域环境质量现状及主要环境问题(环境空气、地面水、地下水、声环境、生态环境等)：</w:t>
            </w:r>
          </w:p>
          <w:p>
            <w:pPr>
              <w:adjustRightInd w:val="0"/>
              <w:snapToGrid w:val="0"/>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本项目环境质量引用宜兴市环境监测站提供的监测报告《2016年宜兴市丁蜀镇环境质量》中相应数据，监测时间为2016年3月16日。</w:t>
            </w:r>
          </w:p>
          <w:p>
            <w:pPr>
              <w:adjustRightInd w:val="0"/>
              <w:snapToGrid w:val="0"/>
              <w:spacing w:line="360" w:lineRule="auto"/>
              <w:ind w:firstLine="474" w:firstLineChars="200"/>
              <w:rPr>
                <w:rFonts w:ascii="Times New Roman" w:hAnsi="Times New Roman" w:cs="Times New Roman"/>
                <w:b/>
                <w:color w:val="auto"/>
                <w:spacing w:val="-2"/>
                <w:kern w:val="28"/>
                <w:sz w:val="24"/>
                <w:szCs w:val="20"/>
              </w:rPr>
            </w:pPr>
            <w:r>
              <w:rPr>
                <w:rFonts w:ascii="Times New Roman" w:hAnsi="Times New Roman" w:cs="Times New Roman"/>
                <w:b/>
                <w:color w:val="auto"/>
                <w:spacing w:val="-2"/>
                <w:kern w:val="28"/>
                <w:sz w:val="24"/>
                <w:szCs w:val="20"/>
              </w:rPr>
              <w:t>1、大气环境质量现状</w:t>
            </w:r>
          </w:p>
          <w:p>
            <w:pPr>
              <w:adjustRightInd w:val="0"/>
              <w:snapToGrid w:val="0"/>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本项目大气环境质量监测结果见表3-1。</w:t>
            </w:r>
          </w:p>
          <w:p>
            <w:pPr>
              <w:adjustRightInd w:val="0"/>
              <w:snapToGrid w:val="0"/>
              <w:jc w:val="center"/>
              <w:rPr>
                <w:rFonts w:ascii="Times New Roman" w:hAnsi="Times New Roman" w:cs="Times New Roman"/>
                <w:b/>
                <w:color w:val="auto"/>
                <w:sz w:val="24"/>
                <w:szCs w:val="24"/>
              </w:rPr>
            </w:pPr>
            <w:r>
              <w:rPr>
                <w:rFonts w:ascii="Times New Roman" w:hAnsi="Times New Roman" w:cs="Times New Roman"/>
                <w:b/>
                <w:bCs/>
                <w:color w:val="auto"/>
                <w:sz w:val="24"/>
              </w:rPr>
              <w:t xml:space="preserve">表3-1  大气环境质量监测统计结果    </w:t>
            </w:r>
            <w:r>
              <w:rPr>
                <w:rFonts w:ascii="Times New Roman" w:hAnsi="Times New Roman" w:cs="Times New Roman"/>
                <w:b/>
                <w:color w:val="auto"/>
                <w:sz w:val="24"/>
                <w:szCs w:val="24"/>
              </w:rPr>
              <w:t>单位：μg/m</w:t>
            </w:r>
            <w:r>
              <w:rPr>
                <w:rFonts w:ascii="Times New Roman" w:hAnsi="Times New Roman" w:cs="Times New Roman"/>
                <w:b/>
                <w:color w:val="auto"/>
                <w:sz w:val="24"/>
                <w:szCs w:val="24"/>
                <w:vertAlign w:val="superscript"/>
              </w:rPr>
              <w:t>3</w:t>
            </w:r>
          </w:p>
          <w:tbl>
            <w:tblPr>
              <w:tblStyle w:val="16"/>
              <w:tblW w:w="876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1334"/>
              <w:gridCol w:w="1464"/>
              <w:gridCol w:w="1158"/>
              <w:gridCol w:w="1748"/>
              <w:gridCol w:w="11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866" w:type="dxa"/>
                  <w:tcBorders>
                    <w:tl2br w:val="nil"/>
                    <w:tr2bl w:val="nil"/>
                  </w:tcBorders>
                  <w:vAlign w:val="center"/>
                </w:tcPr>
                <w:p>
                  <w:pPr>
                    <w:adjustRightInd w:val="0"/>
                    <w:snapToGrid w:val="0"/>
                    <w:jc w:val="center"/>
                    <w:rPr>
                      <w:rFonts w:ascii="Times New Roman" w:hAnsi="Times New Roman" w:cs="Times New Roman"/>
                      <w:b/>
                      <w:bCs/>
                      <w:color w:val="auto"/>
                      <w:szCs w:val="21"/>
                    </w:rPr>
                  </w:pPr>
                  <w:r>
                    <w:rPr>
                      <w:rFonts w:ascii="Times New Roman" w:hAnsi="Times New Roman" w:cs="Times New Roman"/>
                      <w:b/>
                      <w:bCs/>
                      <w:color w:val="auto"/>
                      <w:szCs w:val="21"/>
                    </w:rPr>
                    <w:t>监测点位</w:t>
                  </w:r>
                </w:p>
              </w:tc>
              <w:tc>
                <w:tcPr>
                  <w:tcW w:w="1334" w:type="dxa"/>
                  <w:tcBorders>
                    <w:tl2br w:val="nil"/>
                    <w:tr2bl w:val="nil"/>
                  </w:tcBorders>
                  <w:vAlign w:val="center"/>
                </w:tcPr>
                <w:p>
                  <w:pPr>
                    <w:adjustRightInd w:val="0"/>
                    <w:snapToGrid w:val="0"/>
                    <w:jc w:val="center"/>
                    <w:rPr>
                      <w:rFonts w:ascii="Times New Roman" w:hAnsi="Times New Roman" w:cs="Times New Roman"/>
                      <w:b/>
                      <w:bCs/>
                      <w:color w:val="auto"/>
                      <w:szCs w:val="21"/>
                    </w:rPr>
                  </w:pPr>
                  <w:r>
                    <w:rPr>
                      <w:rFonts w:ascii="Times New Roman" w:hAnsi="Times New Roman" w:cs="Times New Roman"/>
                      <w:b/>
                      <w:bCs/>
                      <w:color w:val="auto"/>
                      <w:szCs w:val="21"/>
                    </w:rPr>
                    <w:t>时间</w:t>
                  </w:r>
                </w:p>
              </w:tc>
              <w:tc>
                <w:tcPr>
                  <w:tcW w:w="1464" w:type="dxa"/>
                  <w:tcBorders>
                    <w:tl2br w:val="nil"/>
                    <w:tr2bl w:val="nil"/>
                  </w:tcBorders>
                  <w:vAlign w:val="center"/>
                </w:tcPr>
                <w:p>
                  <w:pPr>
                    <w:adjustRightInd w:val="0"/>
                    <w:snapToGrid w:val="0"/>
                    <w:jc w:val="center"/>
                    <w:rPr>
                      <w:rFonts w:ascii="Times New Roman" w:hAnsi="Times New Roman" w:cs="Times New Roman"/>
                      <w:b/>
                      <w:bCs/>
                      <w:color w:val="auto"/>
                      <w:szCs w:val="21"/>
                    </w:rPr>
                  </w:pPr>
                  <w:r>
                    <w:rPr>
                      <w:rFonts w:ascii="Times New Roman" w:hAnsi="Times New Roman" w:cs="Times New Roman"/>
                      <w:b/>
                      <w:bCs/>
                      <w:color w:val="auto"/>
                      <w:szCs w:val="21"/>
                    </w:rPr>
                    <w:t>SO</w:t>
                  </w:r>
                  <w:r>
                    <w:rPr>
                      <w:rFonts w:ascii="Times New Roman" w:hAnsi="Times New Roman" w:cs="Times New Roman"/>
                      <w:b/>
                      <w:bCs/>
                      <w:color w:val="auto"/>
                      <w:szCs w:val="21"/>
                      <w:vertAlign w:val="subscript"/>
                    </w:rPr>
                    <w:t>2</w:t>
                  </w:r>
                </w:p>
              </w:tc>
              <w:tc>
                <w:tcPr>
                  <w:tcW w:w="1158" w:type="dxa"/>
                  <w:tcBorders>
                    <w:tl2br w:val="nil"/>
                    <w:tr2bl w:val="nil"/>
                  </w:tcBorders>
                  <w:vAlign w:val="center"/>
                </w:tcPr>
                <w:p>
                  <w:pPr>
                    <w:adjustRightInd w:val="0"/>
                    <w:snapToGrid w:val="0"/>
                    <w:jc w:val="center"/>
                    <w:rPr>
                      <w:rFonts w:ascii="Times New Roman" w:hAnsi="Times New Roman" w:cs="Times New Roman"/>
                      <w:b/>
                      <w:bCs/>
                      <w:color w:val="auto"/>
                      <w:szCs w:val="21"/>
                    </w:rPr>
                  </w:pPr>
                  <w:r>
                    <w:rPr>
                      <w:rFonts w:ascii="Times New Roman" w:hAnsi="Times New Roman" w:cs="Times New Roman"/>
                      <w:b/>
                      <w:bCs/>
                      <w:color w:val="auto"/>
                      <w:szCs w:val="21"/>
                    </w:rPr>
                    <w:t>NO</w:t>
                  </w:r>
                  <w:r>
                    <w:rPr>
                      <w:rFonts w:ascii="Times New Roman" w:hAnsi="Times New Roman" w:cs="Times New Roman"/>
                      <w:b/>
                      <w:bCs/>
                      <w:color w:val="auto"/>
                      <w:szCs w:val="21"/>
                      <w:vertAlign w:val="subscript"/>
                    </w:rPr>
                    <w:t>2</w:t>
                  </w:r>
                </w:p>
              </w:tc>
              <w:tc>
                <w:tcPr>
                  <w:tcW w:w="1748" w:type="dxa"/>
                  <w:tcBorders>
                    <w:tl2br w:val="nil"/>
                    <w:tr2bl w:val="nil"/>
                  </w:tcBorders>
                  <w:vAlign w:val="center"/>
                </w:tcPr>
                <w:p>
                  <w:pPr>
                    <w:adjustRightInd w:val="0"/>
                    <w:snapToGrid w:val="0"/>
                    <w:jc w:val="center"/>
                    <w:rPr>
                      <w:rFonts w:ascii="Times New Roman" w:hAnsi="Times New Roman" w:cs="Times New Roman"/>
                      <w:b/>
                      <w:bCs/>
                      <w:color w:val="auto"/>
                      <w:szCs w:val="21"/>
                    </w:rPr>
                  </w:pPr>
                  <w:r>
                    <w:rPr>
                      <w:rFonts w:ascii="Times New Roman" w:hAnsi="Times New Roman" w:cs="Times New Roman"/>
                      <w:b/>
                      <w:bCs/>
                      <w:color w:val="auto"/>
                      <w:szCs w:val="21"/>
                    </w:rPr>
                    <w:t>PM</w:t>
                  </w:r>
                  <w:r>
                    <w:rPr>
                      <w:rFonts w:ascii="Times New Roman" w:hAnsi="Times New Roman" w:cs="Times New Roman"/>
                      <w:b/>
                      <w:bCs/>
                      <w:color w:val="auto"/>
                      <w:szCs w:val="21"/>
                      <w:vertAlign w:val="subscript"/>
                    </w:rPr>
                    <w:t>10</w:t>
                  </w:r>
                </w:p>
              </w:tc>
              <w:tc>
                <w:tcPr>
                  <w:tcW w:w="1194" w:type="dxa"/>
                  <w:tcBorders>
                    <w:tl2br w:val="nil"/>
                    <w:tr2bl w:val="nil"/>
                  </w:tcBorders>
                  <w:vAlign w:val="center"/>
                </w:tcPr>
                <w:p>
                  <w:pPr>
                    <w:adjustRightInd w:val="0"/>
                    <w:snapToGrid w:val="0"/>
                    <w:jc w:val="center"/>
                    <w:rPr>
                      <w:rFonts w:ascii="Times New Roman" w:hAnsi="Times New Roman" w:cs="Times New Roman"/>
                      <w:b/>
                      <w:bCs/>
                      <w:color w:val="auto"/>
                      <w:szCs w:val="21"/>
                    </w:rPr>
                  </w:pPr>
                  <w:r>
                    <w:rPr>
                      <w:rFonts w:ascii="Times New Roman" w:hAnsi="Times New Roman" w:cs="Times New Roman"/>
                      <w:b/>
                      <w:bCs/>
                      <w:color w:val="auto"/>
                      <w:szCs w:val="21"/>
                    </w:rPr>
                    <w:t>TSP</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866" w:type="dxa"/>
                  <w:tcBorders>
                    <w:tl2br w:val="nil"/>
                    <w:tr2bl w:val="nil"/>
                  </w:tcBorders>
                  <w:vAlign w:val="center"/>
                </w:tcPr>
                <w:p>
                  <w:pPr>
                    <w:adjustRightInd w:val="0"/>
                    <w:snapToGrid w:val="0"/>
                    <w:jc w:val="center"/>
                    <w:rPr>
                      <w:rFonts w:ascii="Times New Roman" w:hAnsi="Times New Roman" w:cs="Times New Roman"/>
                      <w:bCs/>
                      <w:color w:val="auto"/>
                      <w:szCs w:val="21"/>
                    </w:rPr>
                  </w:pPr>
                  <w:r>
                    <w:rPr>
                      <w:rFonts w:ascii="Times New Roman" w:hAnsi="Times New Roman" w:cs="Times New Roman"/>
                      <w:bCs/>
                      <w:color w:val="auto"/>
                      <w:szCs w:val="21"/>
                    </w:rPr>
                    <w:t>丁蜀镇镇府</w:t>
                  </w:r>
                </w:p>
              </w:tc>
              <w:tc>
                <w:tcPr>
                  <w:tcW w:w="1334" w:type="dxa"/>
                  <w:vMerge w:val="restart"/>
                  <w:tcBorders>
                    <w:tl2br w:val="nil"/>
                    <w:tr2bl w:val="nil"/>
                  </w:tcBorders>
                  <w:vAlign w:val="center"/>
                </w:tcPr>
                <w:p>
                  <w:pPr>
                    <w:adjustRightInd w:val="0"/>
                    <w:snapToGrid w:val="0"/>
                    <w:jc w:val="center"/>
                    <w:rPr>
                      <w:rFonts w:ascii="Times New Roman" w:hAnsi="Times New Roman" w:cs="Times New Roman"/>
                      <w:bCs/>
                      <w:color w:val="auto"/>
                      <w:szCs w:val="21"/>
                    </w:rPr>
                  </w:pPr>
                  <w:r>
                    <w:rPr>
                      <w:rFonts w:ascii="Times New Roman" w:hAnsi="Times New Roman" w:cs="Times New Roman"/>
                      <w:bCs/>
                      <w:color w:val="auto"/>
                      <w:szCs w:val="21"/>
                    </w:rPr>
                    <w:t>2016.3.16</w:t>
                  </w:r>
                </w:p>
              </w:tc>
              <w:tc>
                <w:tcPr>
                  <w:tcW w:w="1464" w:type="dxa"/>
                  <w:tcBorders>
                    <w:tl2br w:val="nil"/>
                    <w:tr2bl w:val="nil"/>
                  </w:tcBorders>
                  <w:vAlign w:val="center"/>
                </w:tcPr>
                <w:p>
                  <w:pPr>
                    <w:adjustRightInd w:val="0"/>
                    <w:snapToGrid w:val="0"/>
                    <w:jc w:val="center"/>
                    <w:rPr>
                      <w:rFonts w:ascii="Times New Roman" w:hAnsi="Times New Roman" w:cs="Times New Roman"/>
                      <w:bCs/>
                      <w:color w:val="auto"/>
                      <w:szCs w:val="21"/>
                    </w:rPr>
                  </w:pPr>
                  <w:r>
                    <w:rPr>
                      <w:rFonts w:ascii="Times New Roman" w:hAnsi="Times New Roman" w:cs="Times New Roman"/>
                      <w:bCs/>
                      <w:color w:val="auto"/>
                      <w:szCs w:val="21"/>
                    </w:rPr>
                    <w:t>7</w:t>
                  </w:r>
                </w:p>
              </w:tc>
              <w:tc>
                <w:tcPr>
                  <w:tcW w:w="1158" w:type="dxa"/>
                  <w:tcBorders>
                    <w:tl2br w:val="nil"/>
                    <w:tr2bl w:val="nil"/>
                  </w:tcBorders>
                  <w:vAlign w:val="center"/>
                </w:tcPr>
                <w:p>
                  <w:pPr>
                    <w:adjustRightInd w:val="0"/>
                    <w:snapToGrid w:val="0"/>
                    <w:jc w:val="center"/>
                    <w:rPr>
                      <w:rFonts w:ascii="Times New Roman" w:hAnsi="Times New Roman" w:cs="Times New Roman"/>
                      <w:bCs/>
                      <w:color w:val="auto"/>
                      <w:szCs w:val="21"/>
                    </w:rPr>
                  </w:pPr>
                  <w:r>
                    <w:rPr>
                      <w:rFonts w:ascii="Times New Roman" w:hAnsi="Times New Roman" w:cs="Times New Roman"/>
                      <w:bCs/>
                      <w:color w:val="auto"/>
                      <w:szCs w:val="21"/>
                    </w:rPr>
                    <w:t>90</w:t>
                  </w:r>
                </w:p>
              </w:tc>
              <w:tc>
                <w:tcPr>
                  <w:tcW w:w="1748"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90</w:t>
                  </w:r>
                </w:p>
              </w:tc>
              <w:tc>
                <w:tcPr>
                  <w:tcW w:w="1194"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110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866" w:type="dxa"/>
                  <w:tcBorders>
                    <w:tl2br w:val="nil"/>
                    <w:tr2bl w:val="nil"/>
                  </w:tcBorders>
                  <w:vAlign w:val="center"/>
                </w:tcPr>
                <w:p>
                  <w:pPr>
                    <w:adjustRightInd w:val="0"/>
                    <w:snapToGrid w:val="0"/>
                    <w:jc w:val="center"/>
                    <w:rPr>
                      <w:rFonts w:ascii="Times New Roman" w:hAnsi="Times New Roman" w:cs="Times New Roman"/>
                      <w:bCs/>
                      <w:color w:val="auto"/>
                      <w:szCs w:val="21"/>
                    </w:rPr>
                  </w:pPr>
                  <w:r>
                    <w:rPr>
                      <w:rFonts w:ascii="Times New Roman" w:hAnsi="Times New Roman" w:cs="Times New Roman"/>
                      <w:bCs/>
                      <w:color w:val="auto"/>
                      <w:szCs w:val="21"/>
                    </w:rPr>
                    <w:t>丁山实验小学</w:t>
                  </w:r>
                </w:p>
              </w:tc>
              <w:tc>
                <w:tcPr>
                  <w:tcW w:w="1334" w:type="dxa"/>
                  <w:vMerge w:val="continue"/>
                  <w:tcBorders>
                    <w:tl2br w:val="nil"/>
                    <w:tr2bl w:val="nil"/>
                  </w:tcBorders>
                  <w:vAlign w:val="center"/>
                </w:tcPr>
                <w:p>
                  <w:pPr>
                    <w:adjustRightInd w:val="0"/>
                    <w:snapToGrid w:val="0"/>
                    <w:jc w:val="center"/>
                    <w:rPr>
                      <w:rFonts w:ascii="Times New Roman" w:hAnsi="Times New Roman" w:cs="Times New Roman"/>
                      <w:bCs/>
                      <w:color w:val="auto"/>
                      <w:szCs w:val="21"/>
                    </w:rPr>
                  </w:pPr>
                </w:p>
              </w:tc>
              <w:tc>
                <w:tcPr>
                  <w:tcW w:w="1464" w:type="dxa"/>
                  <w:tcBorders>
                    <w:tl2br w:val="nil"/>
                    <w:tr2bl w:val="nil"/>
                  </w:tcBorders>
                  <w:vAlign w:val="center"/>
                </w:tcPr>
                <w:p>
                  <w:pPr>
                    <w:adjustRightInd w:val="0"/>
                    <w:snapToGrid w:val="0"/>
                    <w:jc w:val="center"/>
                    <w:rPr>
                      <w:rFonts w:ascii="Times New Roman" w:hAnsi="Times New Roman" w:cs="Times New Roman"/>
                      <w:bCs/>
                      <w:color w:val="auto"/>
                      <w:szCs w:val="21"/>
                    </w:rPr>
                  </w:pPr>
                  <w:r>
                    <w:rPr>
                      <w:rFonts w:ascii="Times New Roman" w:hAnsi="Times New Roman" w:cs="Times New Roman"/>
                      <w:bCs/>
                      <w:color w:val="auto"/>
                      <w:szCs w:val="21"/>
                    </w:rPr>
                    <w:t>6</w:t>
                  </w:r>
                </w:p>
              </w:tc>
              <w:tc>
                <w:tcPr>
                  <w:tcW w:w="1158" w:type="dxa"/>
                  <w:tcBorders>
                    <w:tl2br w:val="nil"/>
                    <w:tr2bl w:val="nil"/>
                  </w:tcBorders>
                  <w:vAlign w:val="center"/>
                </w:tcPr>
                <w:p>
                  <w:pPr>
                    <w:adjustRightInd w:val="0"/>
                    <w:snapToGrid w:val="0"/>
                    <w:jc w:val="center"/>
                    <w:rPr>
                      <w:rFonts w:ascii="Times New Roman" w:hAnsi="Times New Roman" w:cs="Times New Roman"/>
                      <w:bCs/>
                      <w:color w:val="auto"/>
                      <w:szCs w:val="21"/>
                    </w:rPr>
                  </w:pPr>
                  <w:r>
                    <w:rPr>
                      <w:rFonts w:ascii="Times New Roman" w:hAnsi="Times New Roman" w:cs="Times New Roman"/>
                      <w:bCs/>
                      <w:color w:val="auto"/>
                      <w:szCs w:val="21"/>
                    </w:rPr>
                    <w:t>93</w:t>
                  </w:r>
                </w:p>
              </w:tc>
              <w:tc>
                <w:tcPr>
                  <w:tcW w:w="1748"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84</w:t>
                  </w:r>
                </w:p>
              </w:tc>
              <w:tc>
                <w:tcPr>
                  <w:tcW w:w="1194"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105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3200" w:type="dxa"/>
                  <w:gridSpan w:val="2"/>
                  <w:tcBorders>
                    <w:tl2br w:val="nil"/>
                    <w:tr2bl w:val="nil"/>
                  </w:tcBorders>
                  <w:vAlign w:val="center"/>
                </w:tcPr>
                <w:p>
                  <w:pPr>
                    <w:adjustRightInd w:val="0"/>
                    <w:snapToGrid w:val="0"/>
                    <w:jc w:val="center"/>
                    <w:rPr>
                      <w:rFonts w:ascii="Times New Roman" w:hAnsi="Times New Roman" w:cs="Times New Roman"/>
                      <w:b/>
                      <w:bCs/>
                      <w:color w:val="auto"/>
                      <w:szCs w:val="21"/>
                    </w:rPr>
                  </w:pPr>
                  <w:r>
                    <w:rPr>
                      <w:rFonts w:ascii="Times New Roman" w:hAnsi="Times New Roman" w:cs="Times New Roman"/>
                      <w:b/>
                      <w:bCs/>
                      <w:color w:val="auto"/>
                      <w:szCs w:val="21"/>
                    </w:rPr>
                    <w:t>标准值</w:t>
                  </w:r>
                </w:p>
              </w:tc>
              <w:tc>
                <w:tcPr>
                  <w:tcW w:w="1464" w:type="dxa"/>
                  <w:tcBorders>
                    <w:tl2br w:val="nil"/>
                    <w:tr2bl w:val="nil"/>
                  </w:tcBorders>
                  <w:vAlign w:val="center"/>
                </w:tcPr>
                <w:p>
                  <w:pPr>
                    <w:adjustRightInd w:val="0"/>
                    <w:snapToGrid w:val="0"/>
                    <w:jc w:val="center"/>
                    <w:rPr>
                      <w:rFonts w:ascii="Times New Roman" w:hAnsi="Times New Roman" w:cs="Times New Roman"/>
                      <w:b/>
                      <w:bCs/>
                      <w:color w:val="auto"/>
                      <w:szCs w:val="21"/>
                    </w:rPr>
                  </w:pPr>
                  <w:r>
                    <w:rPr>
                      <w:rFonts w:ascii="Times New Roman" w:hAnsi="Times New Roman" w:cs="Times New Roman"/>
                      <w:b/>
                      <w:bCs/>
                      <w:color w:val="auto"/>
                      <w:szCs w:val="21"/>
                    </w:rPr>
                    <w:t>150</w:t>
                  </w:r>
                </w:p>
              </w:tc>
              <w:tc>
                <w:tcPr>
                  <w:tcW w:w="1158" w:type="dxa"/>
                  <w:tcBorders>
                    <w:tl2br w:val="nil"/>
                    <w:tr2bl w:val="nil"/>
                  </w:tcBorders>
                  <w:vAlign w:val="center"/>
                </w:tcPr>
                <w:p>
                  <w:pPr>
                    <w:adjustRightInd w:val="0"/>
                    <w:snapToGrid w:val="0"/>
                    <w:jc w:val="center"/>
                    <w:rPr>
                      <w:rFonts w:ascii="Times New Roman" w:hAnsi="Times New Roman" w:cs="Times New Roman"/>
                      <w:b/>
                      <w:bCs/>
                      <w:color w:val="auto"/>
                      <w:szCs w:val="21"/>
                    </w:rPr>
                  </w:pPr>
                  <w:r>
                    <w:rPr>
                      <w:rFonts w:ascii="Times New Roman" w:hAnsi="Times New Roman" w:cs="Times New Roman"/>
                      <w:b/>
                      <w:bCs/>
                      <w:color w:val="auto"/>
                      <w:szCs w:val="21"/>
                    </w:rPr>
                    <w:t>80</w:t>
                  </w:r>
                </w:p>
              </w:tc>
              <w:tc>
                <w:tcPr>
                  <w:tcW w:w="1748"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150</w:t>
                  </w:r>
                </w:p>
              </w:tc>
              <w:tc>
                <w:tcPr>
                  <w:tcW w:w="1194"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300</w:t>
                  </w:r>
                </w:p>
              </w:tc>
            </w:tr>
          </w:tbl>
          <w:p>
            <w:pPr>
              <w:adjustRightInd w:val="0"/>
              <w:snapToGrid w:val="0"/>
              <w:spacing w:line="360" w:lineRule="auto"/>
              <w:ind w:firstLine="480" w:firstLineChars="200"/>
              <w:jc w:val="left"/>
              <w:rPr>
                <w:rFonts w:ascii="Times New Roman" w:hAnsi="Times New Roman" w:cs="Times New Roman"/>
                <w:color w:val="auto"/>
                <w:sz w:val="24"/>
              </w:rPr>
            </w:pPr>
            <w:r>
              <w:rPr>
                <w:rFonts w:ascii="Times New Roman" w:hAnsi="Times New Roman" w:cs="Times New Roman"/>
                <w:color w:val="auto"/>
                <w:sz w:val="24"/>
              </w:rPr>
              <w:t>监测结果表明，本项目所处地区大气环境指标中除NO</w:t>
            </w:r>
            <w:r>
              <w:rPr>
                <w:rFonts w:ascii="Times New Roman" w:hAnsi="Times New Roman" w:cs="Times New Roman"/>
                <w:color w:val="auto"/>
                <w:sz w:val="24"/>
                <w:vertAlign w:val="subscript"/>
              </w:rPr>
              <w:t>2</w:t>
            </w:r>
            <w:r>
              <w:rPr>
                <w:rFonts w:ascii="Times New Roman" w:hAnsi="Times New Roman" w:cs="Times New Roman"/>
                <w:color w:val="auto"/>
                <w:sz w:val="24"/>
              </w:rPr>
              <w:t>浓度超标外能满足《环境空气质量标准》(GB3095—2012)二级标准。超标原因分析：区域机动车排放尾气以及工业污染源增多。</w:t>
            </w:r>
          </w:p>
          <w:p>
            <w:pPr>
              <w:adjustRightInd w:val="0"/>
              <w:snapToGrid w:val="0"/>
              <w:spacing w:line="360" w:lineRule="auto"/>
              <w:ind w:firstLine="474" w:firstLineChars="200"/>
              <w:rPr>
                <w:rFonts w:ascii="Times New Roman" w:hAnsi="Times New Roman" w:cs="Times New Roman"/>
                <w:b/>
                <w:color w:val="auto"/>
                <w:spacing w:val="-2"/>
                <w:kern w:val="28"/>
                <w:sz w:val="24"/>
                <w:szCs w:val="20"/>
              </w:rPr>
            </w:pPr>
            <w:r>
              <w:rPr>
                <w:rFonts w:ascii="Times New Roman" w:hAnsi="Times New Roman" w:cs="Times New Roman"/>
                <w:b/>
                <w:color w:val="auto"/>
                <w:spacing w:val="-2"/>
                <w:kern w:val="28"/>
                <w:sz w:val="24"/>
                <w:szCs w:val="20"/>
              </w:rPr>
              <w:t xml:space="preserve">2、地表水环境质量现状 </w:t>
            </w:r>
          </w:p>
          <w:p>
            <w:pPr>
              <w:adjustRightInd w:val="0"/>
              <w:snapToGrid w:val="0"/>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本项目</w:t>
            </w:r>
            <w:r>
              <w:rPr>
                <w:rFonts w:hint="eastAsia" w:ascii="Times New Roman" w:hAnsi="Times New Roman" w:cs="Times New Roman"/>
                <w:color w:val="auto"/>
                <w:sz w:val="24"/>
              </w:rPr>
              <w:t>施工期</w:t>
            </w:r>
            <w:r>
              <w:rPr>
                <w:rFonts w:ascii="Times New Roman" w:hAnsi="Times New Roman" w:cs="Times New Roman"/>
                <w:color w:val="auto"/>
                <w:sz w:val="24"/>
              </w:rPr>
              <w:t>生活污水</w:t>
            </w:r>
            <w:r>
              <w:rPr>
                <w:rFonts w:hint="eastAsia" w:ascii="Times New Roman" w:hAnsi="Times New Roman" w:cs="Times New Roman"/>
                <w:color w:val="auto"/>
                <w:sz w:val="24"/>
              </w:rPr>
              <w:t>就近原有的卫生设施收集至</w:t>
            </w:r>
            <w:r>
              <w:rPr>
                <w:rFonts w:ascii="Times New Roman" w:hAnsi="Times New Roman" w:cs="Times New Roman"/>
                <w:color w:val="auto"/>
                <w:sz w:val="24"/>
              </w:rPr>
              <w:t>宜兴市华骐污水处理厂处理，</w:t>
            </w:r>
            <w:r>
              <w:rPr>
                <w:rFonts w:hint="eastAsia" w:ascii="Times New Roman" w:hAnsi="Times New Roman" w:cs="Times New Roman"/>
                <w:color w:val="auto"/>
                <w:sz w:val="24"/>
                <w:lang w:eastAsia="zh-CN"/>
              </w:rPr>
              <w:t>最终排入蠡河。本项目引用宜兴市环境监测站于</w:t>
            </w:r>
            <w:r>
              <w:rPr>
                <w:rFonts w:hint="eastAsia" w:ascii="Times New Roman" w:hAnsi="Times New Roman" w:cs="Times New Roman"/>
                <w:color w:val="auto"/>
                <w:sz w:val="24"/>
                <w:lang w:val="en-US" w:eastAsia="zh-CN"/>
              </w:rPr>
              <w:t>2016年3月16日对华骐污水处理厂上游500m、下游500m断面的监测结果，</w:t>
            </w:r>
            <w:r>
              <w:rPr>
                <w:rFonts w:ascii="Times New Roman" w:hAnsi="Times New Roman" w:cs="Times New Roman"/>
                <w:color w:val="auto"/>
                <w:sz w:val="24"/>
              </w:rPr>
              <w:t>地表水环境质量监测结果见表3-2。</w:t>
            </w:r>
          </w:p>
          <w:p>
            <w:pPr>
              <w:adjustRightInd w:val="0"/>
              <w:snapToGrid w:val="0"/>
              <w:jc w:val="center"/>
              <w:rPr>
                <w:rFonts w:ascii="Times New Roman" w:hAnsi="Times New Roman" w:cs="Times New Roman"/>
                <w:bCs/>
                <w:color w:val="auto"/>
                <w:szCs w:val="21"/>
              </w:rPr>
            </w:pPr>
            <w:r>
              <w:rPr>
                <w:rFonts w:ascii="Times New Roman" w:hAnsi="Times New Roman" w:cs="Times New Roman"/>
                <w:b/>
                <w:bCs/>
                <w:color w:val="auto"/>
                <w:sz w:val="24"/>
              </w:rPr>
              <w:t xml:space="preserve">表3-2  地表水质监测结果  </w:t>
            </w:r>
            <w:r>
              <w:rPr>
                <w:rFonts w:ascii="Times New Roman" w:hAnsi="Times New Roman" w:cs="Times New Roman"/>
                <w:b/>
                <w:color w:val="auto"/>
                <w:sz w:val="24"/>
                <w:szCs w:val="24"/>
              </w:rPr>
              <w:t>单位：mg/L</w:t>
            </w:r>
          </w:p>
          <w:tbl>
            <w:tblPr>
              <w:tblStyle w:val="16"/>
              <w:tblW w:w="876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793"/>
              <w:gridCol w:w="794"/>
              <w:gridCol w:w="967"/>
              <w:gridCol w:w="758"/>
              <w:gridCol w:w="655"/>
              <w:gridCol w:w="706"/>
              <w:gridCol w:w="881"/>
              <w:gridCol w:w="944"/>
              <w:gridCol w:w="6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618"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采样地点</w:t>
                  </w:r>
                </w:p>
              </w:tc>
              <w:tc>
                <w:tcPr>
                  <w:tcW w:w="793"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pH</w:t>
                  </w:r>
                </w:p>
              </w:tc>
              <w:tc>
                <w:tcPr>
                  <w:tcW w:w="794"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溶解氧</w:t>
                  </w:r>
                </w:p>
              </w:tc>
              <w:tc>
                <w:tcPr>
                  <w:tcW w:w="967"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高锰酸盐指数</w:t>
                  </w:r>
                </w:p>
              </w:tc>
              <w:tc>
                <w:tcPr>
                  <w:tcW w:w="758"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BOD</w:t>
                  </w:r>
                  <w:r>
                    <w:rPr>
                      <w:rFonts w:ascii="Times New Roman" w:hAnsi="Times New Roman" w:cs="Times New Roman"/>
                      <w:b/>
                      <w:color w:val="auto"/>
                      <w:szCs w:val="21"/>
                      <w:vertAlign w:val="subscript"/>
                    </w:rPr>
                    <w:t>5</w:t>
                  </w:r>
                </w:p>
              </w:tc>
              <w:tc>
                <w:tcPr>
                  <w:tcW w:w="655"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氨氮</w:t>
                  </w:r>
                </w:p>
              </w:tc>
              <w:tc>
                <w:tcPr>
                  <w:tcW w:w="706"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总磷</w:t>
                  </w:r>
                </w:p>
              </w:tc>
              <w:tc>
                <w:tcPr>
                  <w:tcW w:w="881"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石油类</w:t>
                  </w:r>
                </w:p>
              </w:tc>
              <w:tc>
                <w:tcPr>
                  <w:tcW w:w="944"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挥发酚</w:t>
                  </w:r>
                </w:p>
              </w:tc>
              <w:tc>
                <w:tcPr>
                  <w:tcW w:w="648"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COD</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618" w:type="dxa"/>
                  <w:tcBorders>
                    <w:tl2br w:val="nil"/>
                    <w:tr2bl w:val="nil"/>
                  </w:tcBorders>
                  <w:vAlign w:val="center"/>
                </w:tcPr>
                <w:p>
                  <w:pPr>
                    <w:adjustRightInd w:val="0"/>
                    <w:snapToGrid w:val="0"/>
                    <w:jc w:val="center"/>
                    <w:rPr>
                      <w:rFonts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lang w:eastAsia="zh-CN"/>
                    </w:rPr>
                    <w:t>蠡河</w:t>
                  </w:r>
                  <w:r>
                    <w:rPr>
                      <w:rFonts w:ascii="Times New Roman" w:hAnsi="Times New Roman" w:cs="Times New Roman"/>
                      <w:snapToGrid w:val="0"/>
                      <w:color w:val="auto"/>
                      <w:kern w:val="0"/>
                      <w:szCs w:val="21"/>
                    </w:rPr>
                    <w:t>华骐污水处理厂排口上游50</w:t>
                  </w:r>
                  <w:r>
                    <w:rPr>
                      <w:rFonts w:hint="eastAsia" w:ascii="Times New Roman" w:hAnsi="Times New Roman" w:cs="Times New Roman"/>
                      <w:snapToGrid w:val="0"/>
                      <w:color w:val="auto"/>
                      <w:kern w:val="0"/>
                      <w:szCs w:val="21"/>
                      <w:lang w:val="en-US" w:eastAsia="zh-CN"/>
                    </w:rPr>
                    <w:t>0</w:t>
                  </w:r>
                  <w:r>
                    <w:rPr>
                      <w:rFonts w:ascii="Times New Roman" w:hAnsi="Times New Roman" w:cs="Times New Roman"/>
                      <w:snapToGrid w:val="0"/>
                      <w:color w:val="auto"/>
                      <w:kern w:val="0"/>
                      <w:szCs w:val="21"/>
                    </w:rPr>
                    <w:t>m</w:t>
                  </w:r>
                </w:p>
              </w:tc>
              <w:tc>
                <w:tcPr>
                  <w:tcW w:w="793"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7.56</w:t>
                  </w:r>
                </w:p>
              </w:tc>
              <w:tc>
                <w:tcPr>
                  <w:tcW w:w="794"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6.13</w:t>
                  </w:r>
                </w:p>
              </w:tc>
              <w:tc>
                <w:tcPr>
                  <w:tcW w:w="967"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5.8</w:t>
                  </w:r>
                </w:p>
              </w:tc>
              <w:tc>
                <w:tcPr>
                  <w:tcW w:w="758"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3.2</w:t>
                  </w:r>
                </w:p>
              </w:tc>
              <w:tc>
                <w:tcPr>
                  <w:tcW w:w="655"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1.84</w:t>
                  </w:r>
                </w:p>
              </w:tc>
              <w:tc>
                <w:tcPr>
                  <w:tcW w:w="706"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0.12</w:t>
                  </w:r>
                </w:p>
              </w:tc>
              <w:tc>
                <w:tcPr>
                  <w:tcW w:w="881"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0.07</w:t>
                  </w:r>
                </w:p>
              </w:tc>
              <w:tc>
                <w:tcPr>
                  <w:tcW w:w="944"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0.0003L</w:t>
                  </w:r>
                </w:p>
              </w:tc>
              <w:tc>
                <w:tcPr>
                  <w:tcW w:w="648"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16.8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618" w:type="dxa"/>
                  <w:tcBorders>
                    <w:tl2br w:val="nil"/>
                    <w:tr2bl w:val="nil"/>
                  </w:tcBorders>
                  <w:vAlign w:val="center"/>
                </w:tcPr>
                <w:p>
                  <w:pPr>
                    <w:adjustRightInd w:val="0"/>
                    <w:snapToGrid w:val="0"/>
                    <w:jc w:val="center"/>
                    <w:rPr>
                      <w:rFonts w:ascii="Times New Roman" w:hAnsi="Times New Roman" w:cs="Times New Roman"/>
                      <w:snapToGrid w:val="0"/>
                      <w:color w:val="auto"/>
                      <w:kern w:val="0"/>
                      <w:szCs w:val="21"/>
                    </w:rPr>
                  </w:pPr>
                  <w:r>
                    <w:rPr>
                      <w:rFonts w:hint="eastAsia" w:ascii="Times New Roman" w:hAnsi="Times New Roman" w:cs="Times New Roman"/>
                      <w:snapToGrid w:val="0"/>
                      <w:color w:val="auto"/>
                      <w:kern w:val="0"/>
                      <w:szCs w:val="21"/>
                      <w:lang w:eastAsia="zh-CN"/>
                    </w:rPr>
                    <w:t>蠡河</w:t>
                  </w:r>
                  <w:r>
                    <w:rPr>
                      <w:rFonts w:ascii="Times New Roman" w:hAnsi="Times New Roman" w:cs="Times New Roman"/>
                      <w:snapToGrid w:val="0"/>
                      <w:color w:val="auto"/>
                      <w:kern w:val="0"/>
                      <w:szCs w:val="21"/>
                    </w:rPr>
                    <w:t>华骐污水处理厂排口下游500m</w:t>
                  </w:r>
                </w:p>
              </w:tc>
              <w:tc>
                <w:tcPr>
                  <w:tcW w:w="793"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7.53</w:t>
                  </w:r>
                </w:p>
              </w:tc>
              <w:tc>
                <w:tcPr>
                  <w:tcW w:w="794"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7.22</w:t>
                  </w:r>
                </w:p>
              </w:tc>
              <w:tc>
                <w:tcPr>
                  <w:tcW w:w="967"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5.7</w:t>
                  </w:r>
                </w:p>
              </w:tc>
              <w:tc>
                <w:tcPr>
                  <w:tcW w:w="758"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2.2</w:t>
                  </w:r>
                </w:p>
              </w:tc>
              <w:tc>
                <w:tcPr>
                  <w:tcW w:w="655"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0.33</w:t>
                  </w:r>
                </w:p>
              </w:tc>
              <w:tc>
                <w:tcPr>
                  <w:tcW w:w="706"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0.09</w:t>
                  </w:r>
                </w:p>
              </w:tc>
              <w:tc>
                <w:tcPr>
                  <w:tcW w:w="881"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0.09</w:t>
                  </w:r>
                </w:p>
              </w:tc>
              <w:tc>
                <w:tcPr>
                  <w:tcW w:w="944"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0.0003L</w:t>
                  </w:r>
                </w:p>
              </w:tc>
              <w:tc>
                <w:tcPr>
                  <w:tcW w:w="648"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17.7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618" w:type="dxa"/>
                  <w:tcBorders>
                    <w:tl2br w:val="nil"/>
                    <w:tr2bl w:val="nil"/>
                  </w:tcBorders>
                  <w:vAlign w:val="center"/>
                </w:tcPr>
                <w:p>
                  <w:pPr>
                    <w:adjustRightInd w:val="0"/>
                    <w:snapToGrid w:val="0"/>
                    <w:jc w:val="center"/>
                    <w:rPr>
                      <w:rFonts w:ascii="Times New Roman" w:hAnsi="Times New Roman" w:cs="Times New Roman"/>
                      <w:b/>
                      <w:snapToGrid w:val="0"/>
                      <w:color w:val="auto"/>
                      <w:kern w:val="0"/>
                      <w:szCs w:val="21"/>
                    </w:rPr>
                  </w:pPr>
                  <w:r>
                    <w:rPr>
                      <w:rFonts w:ascii="Times New Roman" w:hAnsi="Times New Roman" w:cs="Times New Roman"/>
                      <w:b/>
                      <w:snapToGrid w:val="0"/>
                      <w:color w:val="auto"/>
                      <w:kern w:val="0"/>
                      <w:szCs w:val="21"/>
                    </w:rPr>
                    <w:t>标准值</w:t>
                  </w:r>
                </w:p>
              </w:tc>
              <w:tc>
                <w:tcPr>
                  <w:tcW w:w="793"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6~9</w:t>
                  </w:r>
                </w:p>
              </w:tc>
              <w:tc>
                <w:tcPr>
                  <w:tcW w:w="794"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5</w:t>
                  </w:r>
                </w:p>
              </w:tc>
              <w:tc>
                <w:tcPr>
                  <w:tcW w:w="967"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6</w:t>
                  </w:r>
                </w:p>
              </w:tc>
              <w:tc>
                <w:tcPr>
                  <w:tcW w:w="758"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4</w:t>
                  </w:r>
                </w:p>
              </w:tc>
              <w:tc>
                <w:tcPr>
                  <w:tcW w:w="655"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1</w:t>
                  </w:r>
                </w:p>
              </w:tc>
              <w:tc>
                <w:tcPr>
                  <w:tcW w:w="706"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0.2</w:t>
                  </w:r>
                </w:p>
              </w:tc>
              <w:tc>
                <w:tcPr>
                  <w:tcW w:w="881"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0.05</w:t>
                  </w:r>
                </w:p>
              </w:tc>
              <w:tc>
                <w:tcPr>
                  <w:tcW w:w="944"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0.005</w:t>
                  </w:r>
                </w:p>
              </w:tc>
              <w:tc>
                <w:tcPr>
                  <w:tcW w:w="648"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20</w:t>
                  </w:r>
                </w:p>
              </w:tc>
            </w:tr>
          </w:tbl>
          <w:p>
            <w:pPr>
              <w:adjustRightInd w:val="0"/>
              <w:snapToGrid w:val="0"/>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监测结果显示，项目所在地河流主要水质指标中除氨氮、石油类浓度部分超标外能满足《地表水环境质量标准》（GB3838-2002）Ⅲ类标准，超标原因分析：一、周边地区部分生活污水没有处理直接排入河体所致；二、周围农田使用化肥，农田灌溉或下雨时流入河中所致；三、农村禽畜多为散养，产生的禽畜粪便、废水或其他废弃物随意排入附近水体（或随雨水进入附近水体）</w:t>
            </w:r>
            <w:r>
              <w:rPr>
                <w:rFonts w:hint="eastAsia" w:ascii="Times New Roman" w:hAnsi="Times New Roman" w:cs="Times New Roman"/>
                <w:color w:val="auto"/>
                <w:sz w:val="24"/>
                <w:lang w:eastAsia="zh-CN"/>
              </w:rPr>
              <w:t>；四、来往的船舶较多，船舶燃油进入水体导致石油类超标</w:t>
            </w:r>
            <w:r>
              <w:rPr>
                <w:rFonts w:ascii="Times New Roman" w:hAnsi="Times New Roman" w:cs="Times New Roman"/>
                <w:color w:val="auto"/>
                <w:sz w:val="24"/>
              </w:rPr>
              <w:t>。</w:t>
            </w:r>
            <w:r>
              <w:rPr>
                <w:rFonts w:hint="eastAsia" w:ascii="Times New Roman" w:hAnsi="Times New Roman" w:cs="Times New Roman"/>
                <w:color w:val="auto"/>
                <w:sz w:val="24"/>
                <w:lang w:eastAsia="zh-CN"/>
              </w:rPr>
              <w:t>为保证水环境质量，相关部门正加强区域生活污水的集中收集处理，规范农村禽畜养殖及废水的排放，加强船舶监管。通过采取以上措施，可是区域地表水环境质量逐步改善。</w:t>
            </w:r>
          </w:p>
          <w:p>
            <w:pPr>
              <w:adjustRightInd w:val="0"/>
              <w:snapToGrid w:val="0"/>
              <w:spacing w:line="360" w:lineRule="auto"/>
              <w:ind w:firstLine="474" w:firstLineChars="200"/>
              <w:rPr>
                <w:rFonts w:ascii="Times New Roman" w:hAnsi="Times New Roman" w:cs="Times New Roman"/>
                <w:b/>
                <w:color w:val="auto"/>
                <w:spacing w:val="-2"/>
                <w:kern w:val="28"/>
                <w:sz w:val="24"/>
              </w:rPr>
            </w:pPr>
            <w:r>
              <w:rPr>
                <w:rFonts w:ascii="Times New Roman" w:hAnsi="Times New Roman" w:cs="Times New Roman"/>
                <w:b/>
                <w:color w:val="auto"/>
                <w:spacing w:val="-2"/>
                <w:kern w:val="28"/>
                <w:sz w:val="24"/>
              </w:rPr>
              <w:t>3、声环境质量现状</w:t>
            </w:r>
          </w:p>
          <w:p>
            <w:pPr>
              <w:adjustRightInd w:val="0"/>
              <w:snapToGrid w:val="0"/>
              <w:spacing w:line="360" w:lineRule="auto"/>
              <w:ind w:firstLine="466"/>
              <w:rPr>
                <w:rFonts w:ascii="Times New Roman" w:hAnsi="Times New Roman" w:cs="Times New Roman"/>
                <w:color w:val="auto"/>
                <w:sz w:val="24"/>
              </w:rPr>
            </w:pPr>
            <w:r>
              <w:rPr>
                <w:rFonts w:ascii="Times New Roman" w:hAnsi="Times New Roman" w:cs="Times New Roman"/>
                <w:color w:val="auto"/>
                <w:sz w:val="24"/>
              </w:rPr>
              <w:t>本项目噪声环境质量监测结果见表3-3。</w:t>
            </w:r>
          </w:p>
          <w:p>
            <w:pPr>
              <w:adjustRightInd w:val="0"/>
              <w:snapToGrid w:val="0"/>
              <w:jc w:val="center"/>
              <w:rPr>
                <w:rFonts w:ascii="Times New Roman" w:hAnsi="Times New Roman" w:cs="Times New Roman"/>
                <w:bCs/>
                <w:color w:val="auto"/>
                <w:szCs w:val="21"/>
              </w:rPr>
            </w:pPr>
            <w:r>
              <w:rPr>
                <w:rFonts w:ascii="Times New Roman" w:hAnsi="Times New Roman" w:cs="Times New Roman"/>
                <w:b/>
                <w:bCs/>
                <w:color w:val="auto"/>
                <w:sz w:val="24"/>
              </w:rPr>
              <w:t xml:space="preserve">表3-3  噪声质监测结果  </w:t>
            </w:r>
            <w:r>
              <w:rPr>
                <w:rFonts w:ascii="Times New Roman" w:hAnsi="Times New Roman" w:cs="Times New Roman"/>
                <w:b/>
                <w:color w:val="auto"/>
                <w:sz w:val="24"/>
                <w:szCs w:val="24"/>
              </w:rPr>
              <w:t>单位：dB(A)</w:t>
            </w:r>
          </w:p>
          <w:tbl>
            <w:tblPr>
              <w:tblStyle w:val="16"/>
              <w:tblW w:w="876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1898"/>
              <w:gridCol w:w="2499"/>
              <w:gridCol w:w="25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866"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点位</w:t>
                  </w:r>
                </w:p>
              </w:tc>
              <w:tc>
                <w:tcPr>
                  <w:tcW w:w="1898"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时间</w:t>
                  </w:r>
                </w:p>
              </w:tc>
              <w:tc>
                <w:tcPr>
                  <w:tcW w:w="2499"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昼间</w:t>
                  </w:r>
                </w:p>
              </w:tc>
              <w:tc>
                <w:tcPr>
                  <w:tcW w:w="2501"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866"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丁蜀镇镇府</w:t>
                  </w:r>
                </w:p>
              </w:tc>
              <w:tc>
                <w:tcPr>
                  <w:tcW w:w="1898" w:type="dxa"/>
                  <w:vMerge w:val="restart"/>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2016.3.16</w:t>
                  </w:r>
                </w:p>
              </w:tc>
              <w:tc>
                <w:tcPr>
                  <w:tcW w:w="2499"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56.2</w:t>
                  </w:r>
                </w:p>
              </w:tc>
              <w:tc>
                <w:tcPr>
                  <w:tcW w:w="2501"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45.1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866"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丁山实验小学</w:t>
                  </w:r>
                </w:p>
              </w:tc>
              <w:tc>
                <w:tcPr>
                  <w:tcW w:w="1898" w:type="dxa"/>
                  <w:vMerge w:val="continue"/>
                  <w:tcBorders>
                    <w:tl2br w:val="nil"/>
                    <w:tr2bl w:val="nil"/>
                  </w:tcBorders>
                  <w:vAlign w:val="center"/>
                </w:tcPr>
                <w:p>
                  <w:pPr>
                    <w:adjustRightInd w:val="0"/>
                    <w:snapToGrid w:val="0"/>
                    <w:jc w:val="center"/>
                    <w:rPr>
                      <w:rFonts w:ascii="Times New Roman" w:hAnsi="Times New Roman" w:cs="Times New Roman"/>
                      <w:color w:val="auto"/>
                      <w:szCs w:val="21"/>
                    </w:rPr>
                  </w:pPr>
                </w:p>
              </w:tc>
              <w:tc>
                <w:tcPr>
                  <w:tcW w:w="2499"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57.8</w:t>
                  </w:r>
                </w:p>
              </w:tc>
              <w:tc>
                <w:tcPr>
                  <w:tcW w:w="2501"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44.7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3764" w:type="dxa"/>
                  <w:gridSpan w:val="2"/>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标准值</w:t>
                  </w:r>
                </w:p>
              </w:tc>
              <w:tc>
                <w:tcPr>
                  <w:tcW w:w="2499"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60</w:t>
                  </w:r>
                </w:p>
              </w:tc>
              <w:tc>
                <w:tcPr>
                  <w:tcW w:w="2501"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50</w:t>
                  </w:r>
                </w:p>
              </w:tc>
            </w:tr>
          </w:tbl>
          <w:p>
            <w:pPr>
              <w:adjustRightInd w:val="0"/>
              <w:snapToGrid w:val="0"/>
              <w:spacing w:line="360" w:lineRule="auto"/>
              <w:ind w:firstLine="465"/>
              <w:rPr>
                <w:rFonts w:ascii="Times New Roman" w:hAnsi="Times New Roman" w:cs="Times New Roman"/>
                <w:color w:val="auto"/>
                <w:sz w:val="24"/>
              </w:rPr>
            </w:pPr>
            <w:r>
              <w:rPr>
                <w:rFonts w:ascii="Times New Roman" w:hAnsi="Times New Roman" w:cs="Times New Roman"/>
                <w:color w:val="auto"/>
                <w:sz w:val="24"/>
              </w:rPr>
              <w:t>从上表可知，所在地声环境质量满足《声环境质量标准》（GB3096-2008）中2类区标准，声环境质量状况良好。</w:t>
            </w:r>
          </w:p>
          <w:p>
            <w:pPr>
              <w:adjustRightInd w:val="0"/>
              <w:snapToGrid w:val="0"/>
              <w:spacing w:line="360" w:lineRule="auto"/>
              <w:rPr>
                <w:rFonts w:ascii="Times New Roman" w:hAnsi="Times New Roman"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358" w:hRule="atLeast"/>
          <w:jc w:val="center"/>
        </w:trPr>
        <w:tc>
          <w:tcPr>
            <w:tcW w:w="8980" w:type="dxa"/>
            <w:tcBorders>
              <w:top w:val="single" w:color="auto" w:sz="4" w:space="0"/>
              <w:bottom w:val="single" w:color="auto" w:sz="4" w:space="0"/>
            </w:tcBorders>
          </w:tcPr>
          <w:p>
            <w:pPr>
              <w:adjustRightInd w:val="0"/>
              <w:snapToGrid w:val="0"/>
              <w:spacing w:line="360" w:lineRule="auto"/>
              <w:rPr>
                <w:rFonts w:ascii="Times New Roman" w:hAnsi="Times New Roman" w:cs="Times New Roman"/>
                <w:color w:val="auto"/>
                <w:sz w:val="24"/>
              </w:rPr>
            </w:pPr>
            <w:r>
              <w:rPr>
                <w:rFonts w:hint="eastAsia" w:ascii="Times New Roman" w:hAnsi="Times New Roman" w:cs="Times New Roman"/>
                <w:color w:val="auto"/>
                <w:sz w:val="24"/>
              </w:rPr>
              <w:t>主要环境保护目标（列出名单及保护级别）：</w:t>
            </w:r>
          </w:p>
          <w:p>
            <w:pPr>
              <w:adjustRightInd w:val="0"/>
              <w:snapToGrid w:val="0"/>
              <w:jc w:val="center"/>
              <w:rPr>
                <w:rFonts w:ascii="Times New Roman" w:hAnsi="Times New Roman" w:cs="Times New Roman"/>
                <w:b/>
                <w:bCs/>
                <w:color w:val="auto"/>
                <w:sz w:val="24"/>
              </w:rPr>
            </w:pPr>
            <w:r>
              <w:rPr>
                <w:rFonts w:hint="eastAsia" w:ascii="Times New Roman" w:hAnsi="Times New Roman" w:cs="Times New Roman"/>
                <w:b/>
                <w:bCs/>
                <w:color w:val="auto"/>
                <w:sz w:val="24"/>
              </w:rPr>
              <w:t>表3-4  本项目主要环境保护目标</w:t>
            </w:r>
          </w:p>
          <w:tbl>
            <w:tblPr>
              <w:tblStyle w:val="17"/>
              <w:tblW w:w="876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052"/>
              <w:gridCol w:w="884"/>
              <w:gridCol w:w="1361"/>
              <w:gridCol w:w="1473"/>
              <w:gridCol w:w="282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70" w:type="dxa"/>
                  <w:tcBorders>
                    <w:tl2br w:val="nil"/>
                    <w:tr2bl w:val="nil"/>
                  </w:tcBorders>
                  <w:vAlign w:val="center"/>
                </w:tcPr>
                <w:p>
                  <w:pPr>
                    <w:adjustRightInd w:val="0"/>
                    <w:snapToGrid w:val="0"/>
                    <w:jc w:val="center"/>
                    <w:rPr>
                      <w:rFonts w:ascii="Times New Roman" w:hAnsi="Times New Roman" w:cs="Times New Roman"/>
                      <w:b/>
                      <w:bCs/>
                      <w:color w:val="auto"/>
                      <w:szCs w:val="21"/>
                    </w:rPr>
                  </w:pPr>
                  <w:r>
                    <w:rPr>
                      <w:rFonts w:hint="eastAsia" w:ascii="Times New Roman" w:hAnsi="Times New Roman" w:cs="Times New Roman"/>
                      <w:b/>
                      <w:bCs/>
                      <w:color w:val="auto"/>
                      <w:szCs w:val="21"/>
                    </w:rPr>
                    <w:t>环境要素</w:t>
                  </w:r>
                </w:p>
              </w:tc>
              <w:tc>
                <w:tcPr>
                  <w:tcW w:w="1052" w:type="dxa"/>
                  <w:tcBorders>
                    <w:tl2br w:val="nil"/>
                    <w:tr2bl w:val="nil"/>
                  </w:tcBorders>
                  <w:vAlign w:val="center"/>
                </w:tcPr>
                <w:p>
                  <w:pPr>
                    <w:adjustRightInd w:val="0"/>
                    <w:snapToGrid w:val="0"/>
                    <w:jc w:val="center"/>
                    <w:rPr>
                      <w:rFonts w:ascii="Times New Roman" w:hAnsi="Times New Roman" w:cs="Times New Roman"/>
                      <w:b/>
                      <w:bCs/>
                      <w:color w:val="auto"/>
                      <w:szCs w:val="21"/>
                    </w:rPr>
                  </w:pPr>
                  <w:r>
                    <w:rPr>
                      <w:rFonts w:hint="eastAsia" w:ascii="Times New Roman" w:hAnsi="Times New Roman" w:cs="Times New Roman"/>
                      <w:b/>
                      <w:bCs/>
                      <w:color w:val="auto"/>
                      <w:szCs w:val="21"/>
                    </w:rPr>
                    <w:t>环境保护对象名称</w:t>
                  </w:r>
                </w:p>
              </w:tc>
              <w:tc>
                <w:tcPr>
                  <w:tcW w:w="884" w:type="dxa"/>
                  <w:tcBorders>
                    <w:tl2br w:val="nil"/>
                    <w:tr2bl w:val="nil"/>
                  </w:tcBorders>
                  <w:vAlign w:val="center"/>
                </w:tcPr>
                <w:p>
                  <w:pPr>
                    <w:adjustRightInd w:val="0"/>
                    <w:snapToGrid w:val="0"/>
                    <w:jc w:val="center"/>
                    <w:rPr>
                      <w:rFonts w:ascii="Times New Roman" w:hAnsi="Times New Roman" w:cs="Times New Roman"/>
                      <w:b/>
                      <w:bCs/>
                      <w:color w:val="auto"/>
                      <w:szCs w:val="21"/>
                    </w:rPr>
                  </w:pPr>
                  <w:r>
                    <w:rPr>
                      <w:rFonts w:hint="eastAsia" w:ascii="Times New Roman" w:hAnsi="Times New Roman" w:cs="Times New Roman"/>
                      <w:b/>
                      <w:bCs/>
                      <w:color w:val="auto"/>
                      <w:szCs w:val="21"/>
                    </w:rPr>
                    <w:t>方位</w:t>
                  </w:r>
                </w:p>
              </w:tc>
              <w:tc>
                <w:tcPr>
                  <w:tcW w:w="1361" w:type="dxa"/>
                  <w:tcBorders>
                    <w:tl2br w:val="nil"/>
                    <w:tr2bl w:val="nil"/>
                  </w:tcBorders>
                  <w:vAlign w:val="center"/>
                </w:tcPr>
                <w:p>
                  <w:pPr>
                    <w:adjustRightInd w:val="0"/>
                    <w:snapToGrid w:val="0"/>
                    <w:jc w:val="center"/>
                    <w:rPr>
                      <w:rFonts w:ascii="Times New Roman" w:hAnsi="Times New Roman" w:cs="Times New Roman"/>
                      <w:b/>
                      <w:bCs/>
                      <w:color w:val="auto"/>
                      <w:szCs w:val="21"/>
                    </w:rPr>
                  </w:pPr>
                  <w:r>
                    <w:rPr>
                      <w:rFonts w:hint="eastAsia" w:ascii="Times New Roman" w:hAnsi="Times New Roman" w:cs="Times New Roman"/>
                      <w:b/>
                      <w:bCs/>
                      <w:color w:val="auto"/>
                      <w:szCs w:val="21"/>
                    </w:rPr>
                    <w:t>距本项目距离（m）</w:t>
                  </w:r>
                </w:p>
              </w:tc>
              <w:tc>
                <w:tcPr>
                  <w:tcW w:w="1473" w:type="dxa"/>
                  <w:tcBorders>
                    <w:tl2br w:val="nil"/>
                    <w:tr2bl w:val="nil"/>
                  </w:tcBorders>
                  <w:vAlign w:val="center"/>
                </w:tcPr>
                <w:p>
                  <w:pPr>
                    <w:adjustRightInd w:val="0"/>
                    <w:snapToGrid w:val="0"/>
                    <w:jc w:val="center"/>
                    <w:rPr>
                      <w:rFonts w:ascii="Times New Roman" w:hAnsi="Times New Roman" w:cs="Times New Roman"/>
                      <w:b/>
                      <w:bCs/>
                      <w:color w:val="auto"/>
                      <w:szCs w:val="21"/>
                    </w:rPr>
                  </w:pPr>
                  <w:r>
                    <w:rPr>
                      <w:rFonts w:hint="eastAsia" w:ascii="Times New Roman" w:hAnsi="Times New Roman" w:cs="Times New Roman"/>
                      <w:b/>
                      <w:bCs/>
                      <w:color w:val="auto"/>
                      <w:szCs w:val="21"/>
                    </w:rPr>
                    <w:t>规模</w:t>
                  </w:r>
                </w:p>
              </w:tc>
              <w:tc>
                <w:tcPr>
                  <w:tcW w:w="2824" w:type="dxa"/>
                  <w:tcBorders>
                    <w:tl2br w:val="nil"/>
                    <w:tr2bl w:val="nil"/>
                  </w:tcBorders>
                  <w:vAlign w:val="center"/>
                </w:tcPr>
                <w:p>
                  <w:pPr>
                    <w:adjustRightInd w:val="0"/>
                    <w:snapToGrid w:val="0"/>
                    <w:jc w:val="center"/>
                    <w:rPr>
                      <w:rFonts w:ascii="Times New Roman" w:hAnsi="Times New Roman" w:cs="Times New Roman"/>
                      <w:b/>
                      <w:bCs/>
                      <w:color w:val="auto"/>
                      <w:szCs w:val="21"/>
                    </w:rPr>
                  </w:pPr>
                  <w:r>
                    <w:rPr>
                      <w:rFonts w:hint="eastAsia" w:ascii="Times New Roman" w:hAnsi="Times New Roman" w:cs="Times New Roman"/>
                      <w:b/>
                      <w:bCs/>
                      <w:color w:val="auto"/>
                      <w:szCs w:val="21"/>
                    </w:rPr>
                    <w:t>环境功能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70"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空气环境</w:t>
                  </w:r>
                </w:p>
              </w:tc>
              <w:tc>
                <w:tcPr>
                  <w:tcW w:w="1052"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太湖渎</w:t>
                  </w:r>
                </w:p>
              </w:tc>
              <w:tc>
                <w:tcPr>
                  <w:tcW w:w="884"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W</w:t>
                  </w:r>
                </w:p>
              </w:tc>
              <w:tc>
                <w:tcPr>
                  <w:tcW w:w="1361"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480</w:t>
                  </w:r>
                </w:p>
              </w:tc>
              <w:tc>
                <w:tcPr>
                  <w:tcW w:w="1473"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110户</w:t>
                  </w:r>
                </w:p>
              </w:tc>
              <w:tc>
                <w:tcPr>
                  <w:tcW w:w="2824"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《环境空气质量标准》（GB3095-2012）表1中二级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rPr>
                <w:trHeight w:val="65" w:hRule="atLeast"/>
              </w:trPr>
              <w:tc>
                <w:tcPr>
                  <w:tcW w:w="1170" w:type="dxa"/>
                  <w:vMerge w:val="restart"/>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水环境</w:t>
                  </w:r>
                </w:p>
              </w:tc>
              <w:tc>
                <w:tcPr>
                  <w:tcW w:w="1052"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太湖</w:t>
                  </w:r>
                </w:p>
              </w:tc>
              <w:tc>
                <w:tcPr>
                  <w:tcW w:w="884"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w:t>
                  </w:r>
                </w:p>
              </w:tc>
              <w:tc>
                <w:tcPr>
                  <w:tcW w:w="1361"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w:t>
                  </w:r>
                </w:p>
              </w:tc>
              <w:tc>
                <w:tcPr>
                  <w:tcW w:w="1473"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大型</w:t>
                  </w:r>
                </w:p>
              </w:tc>
              <w:tc>
                <w:tcPr>
                  <w:tcW w:w="2824" w:type="dxa"/>
                  <w:vMerge w:val="restart"/>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《地表水环境质量标准》（GB3838-2002）III类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trPr>
              <w:tc>
                <w:tcPr>
                  <w:tcW w:w="1170" w:type="dxa"/>
                  <w:vMerge w:val="continue"/>
                  <w:tcBorders>
                    <w:tl2br w:val="nil"/>
                    <w:tr2bl w:val="nil"/>
                  </w:tcBorders>
                  <w:vAlign w:val="center"/>
                </w:tcPr>
                <w:p>
                  <w:pPr>
                    <w:adjustRightInd w:val="0"/>
                    <w:snapToGrid w:val="0"/>
                    <w:jc w:val="center"/>
                    <w:rPr>
                      <w:color w:val="auto"/>
                    </w:rPr>
                  </w:pPr>
                </w:p>
              </w:tc>
              <w:tc>
                <w:tcPr>
                  <w:tcW w:w="1052"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双桥港</w:t>
                  </w:r>
                </w:p>
              </w:tc>
              <w:tc>
                <w:tcPr>
                  <w:tcW w:w="884"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w:t>
                  </w:r>
                </w:p>
              </w:tc>
              <w:tc>
                <w:tcPr>
                  <w:tcW w:w="1361"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w:t>
                  </w:r>
                </w:p>
              </w:tc>
              <w:tc>
                <w:tcPr>
                  <w:tcW w:w="1473"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小型</w:t>
                  </w:r>
                </w:p>
              </w:tc>
              <w:tc>
                <w:tcPr>
                  <w:tcW w:w="2824" w:type="dxa"/>
                  <w:vMerge w:val="continue"/>
                  <w:tcBorders>
                    <w:tl2br w:val="nil"/>
                    <w:tr2bl w:val="nil"/>
                  </w:tcBorders>
                  <w:vAlign w:val="center"/>
                </w:tcPr>
                <w:p>
                  <w:pPr>
                    <w:adjustRightInd w:val="0"/>
                    <w:snapToGrid w:val="0"/>
                    <w:jc w:val="center"/>
                    <w:rPr>
                      <w:rFonts w:ascii="Times New Roman" w:hAnsi="Times New Roman" w:cs="Times New Roman"/>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trPr>
              <w:tc>
                <w:tcPr>
                  <w:tcW w:w="1170" w:type="dxa"/>
                  <w:vMerge w:val="continue"/>
                  <w:tcBorders>
                    <w:tl2br w:val="nil"/>
                    <w:tr2bl w:val="nil"/>
                  </w:tcBorders>
                  <w:vAlign w:val="center"/>
                </w:tcPr>
                <w:p>
                  <w:pPr>
                    <w:adjustRightInd w:val="0"/>
                    <w:snapToGrid w:val="0"/>
                    <w:jc w:val="center"/>
                    <w:rPr>
                      <w:rFonts w:ascii="Times New Roman" w:hAnsi="Times New Roman" w:cs="Times New Roman"/>
                      <w:color w:val="auto"/>
                      <w:szCs w:val="21"/>
                    </w:rPr>
                  </w:pPr>
                </w:p>
              </w:tc>
              <w:tc>
                <w:tcPr>
                  <w:tcW w:w="1052"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庙渎港</w:t>
                  </w:r>
                </w:p>
              </w:tc>
              <w:tc>
                <w:tcPr>
                  <w:tcW w:w="884"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w:t>
                  </w:r>
                </w:p>
              </w:tc>
              <w:tc>
                <w:tcPr>
                  <w:tcW w:w="1361"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w:t>
                  </w:r>
                </w:p>
              </w:tc>
              <w:tc>
                <w:tcPr>
                  <w:tcW w:w="1473"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小型</w:t>
                  </w:r>
                </w:p>
              </w:tc>
              <w:tc>
                <w:tcPr>
                  <w:tcW w:w="2824" w:type="dxa"/>
                  <w:vMerge w:val="continue"/>
                  <w:tcBorders>
                    <w:tl2br w:val="nil"/>
                    <w:tr2bl w:val="nil"/>
                  </w:tcBorders>
                  <w:vAlign w:val="center"/>
                </w:tcPr>
                <w:p>
                  <w:pPr>
                    <w:adjustRightInd w:val="0"/>
                    <w:snapToGrid w:val="0"/>
                    <w:jc w:val="center"/>
                    <w:rPr>
                      <w:rFonts w:ascii="Times New Roman" w:hAnsi="Times New Roman" w:cs="Times New Roman"/>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trPr>
              <w:tc>
                <w:tcPr>
                  <w:tcW w:w="1170" w:type="dxa"/>
                  <w:vMerge w:val="continue"/>
                  <w:tcBorders>
                    <w:tl2br w:val="nil"/>
                    <w:tr2bl w:val="nil"/>
                  </w:tcBorders>
                  <w:vAlign w:val="center"/>
                </w:tcPr>
                <w:p>
                  <w:pPr>
                    <w:adjustRightInd w:val="0"/>
                    <w:snapToGrid w:val="0"/>
                    <w:jc w:val="center"/>
                    <w:rPr>
                      <w:rFonts w:ascii="Times New Roman" w:hAnsi="Times New Roman" w:cs="Times New Roman"/>
                      <w:color w:val="auto"/>
                      <w:szCs w:val="21"/>
                    </w:rPr>
                  </w:pPr>
                </w:p>
              </w:tc>
              <w:tc>
                <w:tcPr>
                  <w:tcW w:w="1052"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黄渎港</w:t>
                  </w:r>
                </w:p>
              </w:tc>
              <w:tc>
                <w:tcPr>
                  <w:tcW w:w="884"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w:t>
                  </w:r>
                </w:p>
              </w:tc>
              <w:tc>
                <w:tcPr>
                  <w:tcW w:w="1361"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w:t>
                  </w:r>
                </w:p>
              </w:tc>
              <w:tc>
                <w:tcPr>
                  <w:tcW w:w="1473"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小型</w:t>
                  </w:r>
                </w:p>
              </w:tc>
              <w:tc>
                <w:tcPr>
                  <w:tcW w:w="2824" w:type="dxa"/>
                  <w:vMerge w:val="continue"/>
                  <w:tcBorders>
                    <w:tl2br w:val="nil"/>
                    <w:tr2bl w:val="nil"/>
                  </w:tcBorders>
                  <w:vAlign w:val="center"/>
                </w:tcPr>
                <w:p>
                  <w:pPr>
                    <w:adjustRightInd w:val="0"/>
                    <w:snapToGrid w:val="0"/>
                    <w:jc w:val="center"/>
                    <w:rPr>
                      <w:rFonts w:ascii="Times New Roman" w:hAnsi="Times New Roman" w:cs="Times New Roman"/>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70"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声环境</w:t>
                  </w:r>
                </w:p>
              </w:tc>
              <w:tc>
                <w:tcPr>
                  <w:tcW w:w="1052"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太湖渎</w:t>
                  </w:r>
                </w:p>
              </w:tc>
              <w:tc>
                <w:tcPr>
                  <w:tcW w:w="884"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W</w:t>
                  </w:r>
                </w:p>
              </w:tc>
              <w:tc>
                <w:tcPr>
                  <w:tcW w:w="1361"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480</w:t>
                  </w:r>
                </w:p>
              </w:tc>
              <w:tc>
                <w:tcPr>
                  <w:tcW w:w="1473"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110户</w:t>
                  </w:r>
                </w:p>
              </w:tc>
              <w:tc>
                <w:tcPr>
                  <w:tcW w:w="2824"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《声环境质量标准》（GB3096-2008）中的</w:t>
                  </w:r>
                  <w:r>
                    <w:rPr>
                      <w:rFonts w:hint="eastAsia" w:ascii="Times New Roman" w:hAnsi="Times New Roman" w:cs="Times New Roman"/>
                      <w:color w:val="auto"/>
                      <w:szCs w:val="21"/>
                      <w:lang w:val="en-US" w:eastAsia="zh-CN"/>
                    </w:rPr>
                    <w:t>2</w:t>
                  </w:r>
                  <w:r>
                    <w:rPr>
                      <w:rFonts w:hint="eastAsia" w:ascii="Times New Roman" w:hAnsi="Times New Roman" w:cs="Times New Roman"/>
                      <w:color w:val="auto"/>
                      <w:szCs w:val="21"/>
                    </w:rPr>
                    <w:t>类</w:t>
                  </w:r>
                </w:p>
              </w:tc>
            </w:tr>
          </w:tbl>
          <w:p>
            <w:pPr>
              <w:adjustRightInd w:val="0"/>
              <w:snapToGrid w:val="0"/>
              <w:spacing w:line="360" w:lineRule="auto"/>
              <w:rPr>
                <w:rFonts w:ascii="Times New Roman" w:hAnsi="Times New Roman" w:cs="Times New Roman"/>
                <w:color w:val="auto"/>
                <w:sz w:val="24"/>
              </w:rPr>
            </w:pPr>
          </w:p>
        </w:tc>
      </w:tr>
    </w:tbl>
    <w:p>
      <w:pPr>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0"/>
        <w:adjustRightInd w:val="0"/>
        <w:snapToGrid w:val="0"/>
        <w:rPr>
          <w:color w:val="auto"/>
        </w:rPr>
      </w:pPr>
      <w:r>
        <w:rPr>
          <w:rFonts w:hint="eastAsia"/>
          <w:color w:val="auto"/>
        </w:rPr>
        <w:t>四、</w:t>
      </w:r>
      <w:r>
        <w:rPr>
          <w:color w:val="auto"/>
        </w:rPr>
        <w:t>评价适用标准</w:t>
      </w:r>
    </w:p>
    <w:tbl>
      <w:tblPr>
        <w:tblStyle w:val="16"/>
        <w:tblW w:w="8980" w:type="dxa"/>
        <w:jc w:val="center"/>
        <w:tblInd w:w="-825"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570"/>
        <w:gridCol w:w="841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616" w:hRule="atLeast"/>
          <w:jc w:val="center"/>
        </w:trPr>
        <w:tc>
          <w:tcPr>
            <w:tcW w:w="570" w:type="dxa"/>
            <w:tcBorders>
              <w:top w:val="single" w:color="auto" w:sz="4" w:space="0"/>
              <w:bottom w:val="single" w:color="auto" w:sz="4" w:space="0"/>
            </w:tcBorders>
            <w:vAlign w:val="center"/>
          </w:tcPr>
          <w:p>
            <w:pPr>
              <w:adjustRightInd w:val="0"/>
              <w:snapToGrid w:val="0"/>
              <w:spacing w:line="312"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环境质量标准</w:t>
            </w:r>
          </w:p>
        </w:tc>
        <w:tc>
          <w:tcPr>
            <w:tcW w:w="8410" w:type="dxa"/>
            <w:tcBorders>
              <w:top w:val="single" w:color="auto" w:sz="4" w:space="0"/>
              <w:bottom w:val="single" w:color="auto" w:sz="4" w:space="0"/>
            </w:tcBorders>
          </w:tcPr>
          <w:p>
            <w:pPr>
              <w:adjustRightInd w:val="0"/>
              <w:snapToGrid w:val="0"/>
              <w:spacing w:line="360" w:lineRule="auto"/>
              <w:ind w:firstLine="482" w:firstLineChars="200"/>
              <w:rPr>
                <w:rFonts w:ascii="Times New Roman" w:hAnsi="Times New Roman" w:cs="Times New Roman"/>
                <w:b/>
                <w:color w:val="auto"/>
                <w:sz w:val="24"/>
              </w:rPr>
            </w:pPr>
            <w:r>
              <w:rPr>
                <w:rFonts w:ascii="Times New Roman" w:hAnsi="Times New Roman" w:cs="Times New Roman"/>
                <w:b/>
                <w:color w:val="auto"/>
                <w:sz w:val="24"/>
              </w:rPr>
              <w:t>1、大气环境</w:t>
            </w:r>
          </w:p>
          <w:p>
            <w:pPr>
              <w:pStyle w:val="6"/>
              <w:adjustRightInd w:val="0"/>
              <w:spacing w:before="0" w:line="360" w:lineRule="auto"/>
              <w:ind w:firstLine="480" w:firstLineChars="200"/>
              <w:rPr>
                <w:rFonts w:ascii="Times New Roman" w:hAnsi="Times New Roman" w:cs="Times New Roman"/>
                <w:color w:val="auto"/>
              </w:rPr>
            </w:pPr>
            <w:r>
              <w:rPr>
                <w:rFonts w:ascii="Times New Roman" w:hAnsi="Times New Roman" w:cs="Times New Roman"/>
                <w:color w:val="auto"/>
              </w:rPr>
              <w:t>评价区域环境空气质量执行《环境空气质量标准》（GB3095-2012）二级标准值。具体标准值详见表4-1。</w:t>
            </w:r>
          </w:p>
          <w:p>
            <w:pPr>
              <w:pStyle w:val="6"/>
              <w:adjustRightInd w:val="0"/>
              <w:spacing w:before="0" w:line="240" w:lineRule="auto"/>
              <w:ind w:firstLine="0"/>
              <w:jc w:val="center"/>
              <w:rPr>
                <w:rFonts w:ascii="Times New Roman" w:hAnsi="Times New Roman" w:cs="Times New Roman"/>
                <w:color w:val="auto"/>
              </w:rPr>
            </w:pPr>
            <w:r>
              <w:rPr>
                <w:rFonts w:ascii="Times New Roman" w:hAnsi="Times New Roman" w:cs="Times New Roman"/>
                <w:b/>
                <w:color w:val="auto"/>
              </w:rPr>
              <w:t>表4-1  环境空气质量评价标准</w:t>
            </w:r>
          </w:p>
          <w:tbl>
            <w:tblPr>
              <w:tblStyle w:val="17"/>
              <w:tblW w:w="819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75"/>
              <w:gridCol w:w="1223"/>
              <w:gridCol w:w="996"/>
              <w:gridCol w:w="269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污染物名称</w:t>
                  </w:r>
                </w:p>
              </w:tc>
              <w:tc>
                <w:tcPr>
                  <w:tcW w:w="1975"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取值时间</w:t>
                  </w:r>
                </w:p>
              </w:tc>
              <w:tc>
                <w:tcPr>
                  <w:tcW w:w="1223"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浓度限值</w:t>
                  </w:r>
                </w:p>
              </w:tc>
              <w:tc>
                <w:tcPr>
                  <w:tcW w:w="996"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单位</w:t>
                  </w:r>
                </w:p>
              </w:tc>
              <w:tc>
                <w:tcPr>
                  <w:tcW w:w="2698"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Merge w:val="restart"/>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SO</w:t>
                  </w:r>
                  <w:r>
                    <w:rPr>
                      <w:rFonts w:ascii="Times New Roman" w:hAnsi="Times New Roman" w:cs="Times New Roman"/>
                      <w:color w:val="auto"/>
                      <w:szCs w:val="21"/>
                      <w:vertAlign w:val="subscript"/>
                    </w:rPr>
                    <w:t>2</w:t>
                  </w:r>
                </w:p>
              </w:tc>
              <w:tc>
                <w:tcPr>
                  <w:tcW w:w="1975"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年平均</w:t>
                  </w:r>
                </w:p>
              </w:tc>
              <w:tc>
                <w:tcPr>
                  <w:tcW w:w="1223"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60</w:t>
                  </w:r>
                </w:p>
              </w:tc>
              <w:tc>
                <w:tcPr>
                  <w:tcW w:w="996" w:type="dxa"/>
                  <w:vMerge w:val="restart"/>
                  <w:tcBorders>
                    <w:tl2br w:val="nil"/>
                    <w:tr2bl w:val="nil"/>
                  </w:tcBorders>
                  <w:vAlign w:val="center"/>
                </w:tcPr>
                <w:p>
                  <w:pPr>
                    <w:pStyle w:val="21"/>
                    <w:adjustRightInd w:val="0"/>
                    <w:snapToGrid w:val="0"/>
                    <w:spacing w:line="240" w:lineRule="auto"/>
                    <w:jc w:val="center"/>
                    <w:rPr>
                      <w:rFonts w:ascii="Times New Roman" w:hAnsi="Times New Roman" w:cs="Times New Roman"/>
                      <w:color w:val="auto"/>
                      <w:szCs w:val="21"/>
                    </w:rPr>
                  </w:pPr>
                  <w:r>
                    <w:rPr>
                      <w:rFonts w:ascii="Times New Roman" w:hAnsi="Times New Roman" w:cs="Times New Roman"/>
                      <w:color w:val="auto"/>
                      <w:szCs w:val="21"/>
                    </w:rPr>
                    <w:t>ug/m</w:t>
                  </w:r>
                  <w:r>
                    <w:rPr>
                      <w:rFonts w:ascii="Times New Roman" w:hAnsi="Times New Roman" w:cs="Times New Roman"/>
                      <w:color w:val="auto"/>
                      <w:szCs w:val="21"/>
                      <w:vertAlign w:val="superscript"/>
                    </w:rPr>
                    <w:t>3</w:t>
                  </w:r>
                </w:p>
              </w:tc>
              <w:tc>
                <w:tcPr>
                  <w:tcW w:w="2698" w:type="dxa"/>
                  <w:vMerge w:val="restart"/>
                  <w:tcBorders>
                    <w:tl2br w:val="nil"/>
                    <w:tr2bl w:val="nil"/>
                  </w:tcBorders>
                  <w:vAlign w:val="center"/>
                </w:tcPr>
                <w:p>
                  <w:pPr>
                    <w:pStyle w:val="21"/>
                    <w:adjustRightInd w:val="0"/>
                    <w:snapToGrid w:val="0"/>
                    <w:spacing w:line="240" w:lineRule="auto"/>
                    <w:jc w:val="center"/>
                    <w:rPr>
                      <w:rFonts w:ascii="Times New Roman" w:hAnsi="Times New Roman" w:cs="Times New Roman"/>
                      <w:color w:val="auto"/>
                      <w:szCs w:val="21"/>
                    </w:rPr>
                  </w:pPr>
                  <w:r>
                    <w:rPr>
                      <w:rFonts w:ascii="Times New Roman" w:hAnsi="Times New Roman" w:cs="Times New Roman"/>
                      <w:color w:val="auto"/>
                      <w:szCs w:val="21"/>
                    </w:rPr>
                    <w:t>《环境空气质量标准》</w:t>
                  </w:r>
                </w:p>
                <w:p>
                  <w:pPr>
                    <w:pStyle w:val="6"/>
                    <w:adjustRightInd w:val="0"/>
                    <w:spacing w:before="0" w:line="240" w:lineRule="auto"/>
                    <w:ind w:firstLine="0"/>
                    <w:jc w:val="center"/>
                    <w:rPr>
                      <w:rFonts w:ascii="Times New Roman" w:hAnsi="Times New Roman" w:cs="Times New Roman"/>
                      <w:color w:val="auto"/>
                      <w:sz w:val="21"/>
                      <w:szCs w:val="21"/>
                    </w:rPr>
                  </w:pPr>
                  <w:r>
                    <w:rPr>
                      <w:rFonts w:ascii="Times New Roman" w:hAnsi="Times New Roman" w:cs="Times New Roman"/>
                      <w:color w:val="auto"/>
                      <w:sz w:val="21"/>
                      <w:szCs w:val="21"/>
                    </w:rPr>
                    <w:t>（GB3095-2012）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p>
              </w:tc>
              <w:tc>
                <w:tcPr>
                  <w:tcW w:w="1975"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24小时平均</w:t>
                  </w:r>
                </w:p>
              </w:tc>
              <w:tc>
                <w:tcPr>
                  <w:tcW w:w="1223"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150</w:t>
                  </w:r>
                </w:p>
              </w:tc>
              <w:tc>
                <w:tcPr>
                  <w:tcW w:w="996"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p>
              </w:tc>
              <w:tc>
                <w:tcPr>
                  <w:tcW w:w="2698"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p>
              </w:tc>
              <w:tc>
                <w:tcPr>
                  <w:tcW w:w="1975"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1小时平均</w:t>
                  </w:r>
                </w:p>
              </w:tc>
              <w:tc>
                <w:tcPr>
                  <w:tcW w:w="1223"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500</w:t>
                  </w:r>
                </w:p>
              </w:tc>
              <w:tc>
                <w:tcPr>
                  <w:tcW w:w="996"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p>
              </w:tc>
              <w:tc>
                <w:tcPr>
                  <w:tcW w:w="2698"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Merge w:val="restart"/>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NO</w:t>
                  </w:r>
                  <w:r>
                    <w:rPr>
                      <w:rFonts w:ascii="Times New Roman" w:hAnsi="Times New Roman" w:cs="Times New Roman"/>
                      <w:color w:val="auto"/>
                      <w:szCs w:val="21"/>
                      <w:vertAlign w:val="subscript"/>
                    </w:rPr>
                    <w:t>2</w:t>
                  </w:r>
                </w:p>
              </w:tc>
              <w:tc>
                <w:tcPr>
                  <w:tcW w:w="1975"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年平均</w:t>
                  </w:r>
                </w:p>
              </w:tc>
              <w:tc>
                <w:tcPr>
                  <w:tcW w:w="1223"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40</w:t>
                  </w:r>
                </w:p>
              </w:tc>
              <w:tc>
                <w:tcPr>
                  <w:tcW w:w="996"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p>
              </w:tc>
              <w:tc>
                <w:tcPr>
                  <w:tcW w:w="2698"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p>
              </w:tc>
              <w:tc>
                <w:tcPr>
                  <w:tcW w:w="1975"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24小时平均</w:t>
                  </w:r>
                </w:p>
              </w:tc>
              <w:tc>
                <w:tcPr>
                  <w:tcW w:w="1223"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80</w:t>
                  </w:r>
                </w:p>
              </w:tc>
              <w:tc>
                <w:tcPr>
                  <w:tcW w:w="996"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p>
              </w:tc>
              <w:tc>
                <w:tcPr>
                  <w:tcW w:w="2698"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p>
              </w:tc>
              <w:tc>
                <w:tcPr>
                  <w:tcW w:w="1975"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1小时平均</w:t>
                  </w:r>
                </w:p>
              </w:tc>
              <w:tc>
                <w:tcPr>
                  <w:tcW w:w="1223"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200</w:t>
                  </w:r>
                </w:p>
              </w:tc>
              <w:tc>
                <w:tcPr>
                  <w:tcW w:w="996"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p>
              </w:tc>
              <w:tc>
                <w:tcPr>
                  <w:tcW w:w="2698"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Merge w:val="restart"/>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CO</w:t>
                  </w:r>
                </w:p>
              </w:tc>
              <w:tc>
                <w:tcPr>
                  <w:tcW w:w="1975"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24小时平均</w:t>
                  </w:r>
                </w:p>
              </w:tc>
              <w:tc>
                <w:tcPr>
                  <w:tcW w:w="1223"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4</w:t>
                  </w:r>
                </w:p>
              </w:tc>
              <w:tc>
                <w:tcPr>
                  <w:tcW w:w="996" w:type="dxa"/>
                  <w:vMerge w:val="restart"/>
                  <w:tcBorders>
                    <w:tl2br w:val="nil"/>
                    <w:tr2bl w:val="nil"/>
                  </w:tcBorders>
                  <w:vAlign w:val="center"/>
                </w:tcPr>
                <w:p>
                  <w:pPr>
                    <w:pStyle w:val="21"/>
                    <w:adjustRightInd w:val="0"/>
                    <w:snapToGrid w:val="0"/>
                    <w:spacing w:line="240" w:lineRule="auto"/>
                    <w:jc w:val="center"/>
                    <w:rPr>
                      <w:rFonts w:ascii="Times New Roman" w:hAnsi="Times New Roman" w:cs="Times New Roman"/>
                      <w:color w:val="auto"/>
                      <w:szCs w:val="21"/>
                    </w:rPr>
                  </w:pPr>
                  <w:r>
                    <w:rPr>
                      <w:rFonts w:hint="eastAsia" w:ascii="Times New Roman" w:hAnsi="Times New Roman" w:cs="Times New Roman"/>
                      <w:color w:val="auto"/>
                      <w:szCs w:val="21"/>
                    </w:rPr>
                    <w:t>mg/m</w:t>
                  </w:r>
                  <w:r>
                    <w:rPr>
                      <w:rFonts w:ascii="Times New Roman" w:hAnsi="Times New Roman" w:cs="Times New Roman"/>
                      <w:color w:val="auto"/>
                      <w:szCs w:val="21"/>
                      <w:vertAlign w:val="superscript"/>
                    </w:rPr>
                    <w:t>3</w:t>
                  </w:r>
                </w:p>
              </w:tc>
              <w:tc>
                <w:tcPr>
                  <w:tcW w:w="2698"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p>
              </w:tc>
              <w:tc>
                <w:tcPr>
                  <w:tcW w:w="1975"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1小时平均</w:t>
                  </w:r>
                </w:p>
              </w:tc>
              <w:tc>
                <w:tcPr>
                  <w:tcW w:w="1223"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10</w:t>
                  </w:r>
                </w:p>
              </w:tc>
              <w:tc>
                <w:tcPr>
                  <w:tcW w:w="996"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p>
              </w:tc>
              <w:tc>
                <w:tcPr>
                  <w:tcW w:w="2698"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Merge w:val="restart"/>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臭氧</w:t>
                  </w:r>
                </w:p>
              </w:tc>
              <w:tc>
                <w:tcPr>
                  <w:tcW w:w="1975"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日最大8小时平均</w:t>
                  </w:r>
                </w:p>
              </w:tc>
              <w:tc>
                <w:tcPr>
                  <w:tcW w:w="1223"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160</w:t>
                  </w:r>
                </w:p>
              </w:tc>
              <w:tc>
                <w:tcPr>
                  <w:tcW w:w="996" w:type="dxa"/>
                  <w:vMerge w:val="restart"/>
                  <w:tcBorders>
                    <w:tl2br w:val="nil"/>
                    <w:tr2bl w:val="nil"/>
                  </w:tcBorders>
                  <w:vAlign w:val="center"/>
                </w:tcPr>
                <w:p>
                  <w:pPr>
                    <w:pStyle w:val="21"/>
                    <w:adjustRightInd w:val="0"/>
                    <w:snapToGrid w:val="0"/>
                    <w:spacing w:line="240" w:lineRule="auto"/>
                    <w:jc w:val="center"/>
                    <w:rPr>
                      <w:rFonts w:ascii="Times New Roman" w:hAnsi="Times New Roman" w:cs="Times New Roman"/>
                      <w:color w:val="auto"/>
                      <w:szCs w:val="21"/>
                    </w:rPr>
                  </w:pPr>
                  <w:r>
                    <w:rPr>
                      <w:rFonts w:ascii="Times New Roman" w:hAnsi="Times New Roman" w:cs="Times New Roman"/>
                      <w:color w:val="auto"/>
                      <w:szCs w:val="21"/>
                    </w:rPr>
                    <w:t>ug/m</w:t>
                  </w:r>
                  <w:r>
                    <w:rPr>
                      <w:rFonts w:ascii="Times New Roman" w:hAnsi="Times New Roman" w:cs="Times New Roman"/>
                      <w:color w:val="auto"/>
                      <w:szCs w:val="21"/>
                      <w:vertAlign w:val="superscript"/>
                    </w:rPr>
                    <w:t>3</w:t>
                  </w:r>
                </w:p>
              </w:tc>
              <w:tc>
                <w:tcPr>
                  <w:tcW w:w="2698"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p>
              </w:tc>
              <w:tc>
                <w:tcPr>
                  <w:tcW w:w="1975"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1小时平均</w:t>
                  </w:r>
                </w:p>
              </w:tc>
              <w:tc>
                <w:tcPr>
                  <w:tcW w:w="1223"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200</w:t>
                  </w:r>
                </w:p>
              </w:tc>
              <w:tc>
                <w:tcPr>
                  <w:tcW w:w="996"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p>
              </w:tc>
              <w:tc>
                <w:tcPr>
                  <w:tcW w:w="2698"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Merge w:val="restart"/>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PM</w:t>
                  </w:r>
                  <w:r>
                    <w:rPr>
                      <w:rFonts w:ascii="Times New Roman" w:hAnsi="Times New Roman" w:cs="Times New Roman"/>
                      <w:color w:val="auto"/>
                      <w:szCs w:val="21"/>
                      <w:vertAlign w:val="subscript"/>
                    </w:rPr>
                    <w:t>10</w:t>
                  </w:r>
                </w:p>
              </w:tc>
              <w:tc>
                <w:tcPr>
                  <w:tcW w:w="1975"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年平均</w:t>
                  </w:r>
                </w:p>
              </w:tc>
              <w:tc>
                <w:tcPr>
                  <w:tcW w:w="1223"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70</w:t>
                  </w:r>
                </w:p>
              </w:tc>
              <w:tc>
                <w:tcPr>
                  <w:tcW w:w="996"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p>
              </w:tc>
              <w:tc>
                <w:tcPr>
                  <w:tcW w:w="2698"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p>
              </w:tc>
              <w:tc>
                <w:tcPr>
                  <w:tcW w:w="1975"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24小时平均</w:t>
                  </w:r>
                </w:p>
              </w:tc>
              <w:tc>
                <w:tcPr>
                  <w:tcW w:w="1223"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150</w:t>
                  </w:r>
                </w:p>
              </w:tc>
              <w:tc>
                <w:tcPr>
                  <w:tcW w:w="996"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p>
              </w:tc>
              <w:tc>
                <w:tcPr>
                  <w:tcW w:w="2698"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Merge w:val="restart"/>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PM</w:t>
                  </w:r>
                  <w:r>
                    <w:rPr>
                      <w:rFonts w:hint="eastAsia" w:ascii="Times New Roman" w:hAnsi="Times New Roman" w:cs="Times New Roman"/>
                      <w:color w:val="auto"/>
                      <w:szCs w:val="21"/>
                      <w:vertAlign w:val="subscript"/>
                    </w:rPr>
                    <w:t>2.5</w:t>
                  </w:r>
                </w:p>
              </w:tc>
              <w:tc>
                <w:tcPr>
                  <w:tcW w:w="1975"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年平均</w:t>
                  </w:r>
                </w:p>
              </w:tc>
              <w:tc>
                <w:tcPr>
                  <w:tcW w:w="1223"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35</w:t>
                  </w:r>
                </w:p>
              </w:tc>
              <w:tc>
                <w:tcPr>
                  <w:tcW w:w="996"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p>
              </w:tc>
              <w:tc>
                <w:tcPr>
                  <w:tcW w:w="2698"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p>
              </w:tc>
              <w:tc>
                <w:tcPr>
                  <w:tcW w:w="1975"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24小时平均</w:t>
                  </w:r>
                </w:p>
              </w:tc>
              <w:tc>
                <w:tcPr>
                  <w:tcW w:w="1223"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75</w:t>
                  </w:r>
                </w:p>
              </w:tc>
              <w:tc>
                <w:tcPr>
                  <w:tcW w:w="996"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p>
              </w:tc>
              <w:tc>
                <w:tcPr>
                  <w:tcW w:w="2698"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Merge w:val="restart"/>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TSP</w:t>
                  </w:r>
                </w:p>
              </w:tc>
              <w:tc>
                <w:tcPr>
                  <w:tcW w:w="1975"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年平均</w:t>
                  </w:r>
                </w:p>
              </w:tc>
              <w:tc>
                <w:tcPr>
                  <w:tcW w:w="1223"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200</w:t>
                  </w:r>
                </w:p>
              </w:tc>
              <w:tc>
                <w:tcPr>
                  <w:tcW w:w="996"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p>
              </w:tc>
              <w:tc>
                <w:tcPr>
                  <w:tcW w:w="2698"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02" w:type="dxa"/>
                  <w:vMerge w:val="continue"/>
                  <w:tcBorders>
                    <w:tl2br w:val="nil"/>
                    <w:tr2bl w:val="nil"/>
                  </w:tcBorders>
                  <w:vAlign w:val="center"/>
                </w:tcPr>
                <w:p>
                  <w:pPr>
                    <w:adjustRightInd w:val="0"/>
                    <w:snapToGrid w:val="0"/>
                    <w:jc w:val="center"/>
                    <w:rPr>
                      <w:rFonts w:ascii="Times New Roman" w:hAnsi="Times New Roman" w:cs="Times New Roman"/>
                      <w:color w:val="auto"/>
                      <w:szCs w:val="21"/>
                    </w:rPr>
                  </w:pPr>
                </w:p>
              </w:tc>
              <w:tc>
                <w:tcPr>
                  <w:tcW w:w="1975"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24小时平均</w:t>
                  </w:r>
                </w:p>
              </w:tc>
              <w:tc>
                <w:tcPr>
                  <w:tcW w:w="1223"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300</w:t>
                  </w:r>
                </w:p>
              </w:tc>
              <w:tc>
                <w:tcPr>
                  <w:tcW w:w="996"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p>
              </w:tc>
              <w:tc>
                <w:tcPr>
                  <w:tcW w:w="2698" w:type="dxa"/>
                  <w:vMerge w:val="continue"/>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NH</w:t>
                  </w:r>
                  <w:r>
                    <w:rPr>
                      <w:rFonts w:hint="eastAsia" w:ascii="Times New Roman" w:hAnsi="Times New Roman" w:cs="Times New Roman"/>
                      <w:color w:val="auto"/>
                      <w:szCs w:val="21"/>
                      <w:vertAlign w:val="subscript"/>
                    </w:rPr>
                    <w:t>3</w:t>
                  </w:r>
                </w:p>
              </w:tc>
              <w:tc>
                <w:tcPr>
                  <w:tcW w:w="1975"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一次</w:t>
                  </w:r>
                </w:p>
              </w:tc>
              <w:tc>
                <w:tcPr>
                  <w:tcW w:w="1223" w:type="dxa"/>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0.2</w:t>
                  </w:r>
                </w:p>
              </w:tc>
              <w:tc>
                <w:tcPr>
                  <w:tcW w:w="996" w:type="dxa"/>
                  <w:vMerge w:val="restart"/>
                  <w:tcBorders>
                    <w:tl2br w:val="nil"/>
                    <w:tr2bl w:val="nil"/>
                  </w:tcBorders>
                  <w:vAlign w:val="center"/>
                </w:tcPr>
                <w:p>
                  <w:pPr>
                    <w:pStyle w:val="21"/>
                    <w:adjustRightInd w:val="0"/>
                    <w:snapToGrid w:val="0"/>
                    <w:spacing w:line="240" w:lineRule="auto"/>
                    <w:jc w:val="center"/>
                    <w:rPr>
                      <w:rFonts w:ascii="Times New Roman" w:hAnsi="Times New Roman" w:cs="Times New Roman"/>
                      <w:color w:val="auto"/>
                      <w:szCs w:val="21"/>
                    </w:rPr>
                  </w:pPr>
                  <w:r>
                    <w:rPr>
                      <w:rFonts w:hint="eastAsia" w:ascii="Times New Roman" w:hAnsi="Times New Roman" w:cs="Times New Roman"/>
                      <w:color w:val="auto"/>
                      <w:szCs w:val="21"/>
                    </w:rPr>
                    <w:t>mg/m</w:t>
                  </w:r>
                  <w:r>
                    <w:rPr>
                      <w:rFonts w:ascii="Times New Roman" w:hAnsi="Times New Roman" w:cs="Times New Roman"/>
                      <w:color w:val="auto"/>
                      <w:szCs w:val="21"/>
                      <w:vertAlign w:val="superscript"/>
                    </w:rPr>
                    <w:t>3</w:t>
                  </w:r>
                </w:p>
              </w:tc>
              <w:tc>
                <w:tcPr>
                  <w:tcW w:w="2698" w:type="dxa"/>
                  <w:vMerge w:val="restart"/>
                  <w:tcBorders>
                    <w:tl2br w:val="nil"/>
                    <w:tr2bl w:val="nil"/>
                  </w:tcBorders>
                  <w:vAlign w:val="center"/>
                </w:tcPr>
                <w:p>
                  <w:pPr>
                    <w:pStyle w:val="6"/>
                    <w:adjustRightInd w:val="0"/>
                    <w:spacing w:before="0" w:line="240" w:lineRule="auto"/>
                    <w:ind w:firstLine="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《工业企业设计卫生标准》TJ36-79表1标准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02" w:type="dxa"/>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H</w:t>
                  </w:r>
                  <w:r>
                    <w:rPr>
                      <w:rFonts w:hint="eastAsia" w:ascii="Times New Roman" w:hAnsi="Times New Roman" w:cs="Times New Roman"/>
                      <w:color w:val="auto"/>
                      <w:szCs w:val="21"/>
                      <w:vertAlign w:val="subscript"/>
                    </w:rPr>
                    <w:t>2</w:t>
                  </w:r>
                  <w:r>
                    <w:rPr>
                      <w:rFonts w:hint="eastAsia" w:ascii="Times New Roman" w:hAnsi="Times New Roman" w:cs="Times New Roman"/>
                      <w:color w:val="auto"/>
                      <w:szCs w:val="21"/>
                    </w:rPr>
                    <w:t>S</w:t>
                  </w:r>
                </w:p>
              </w:tc>
              <w:tc>
                <w:tcPr>
                  <w:tcW w:w="1975" w:type="dxa"/>
                </w:tcPr>
                <w:p>
                  <w:pPr>
                    <w:pStyle w:val="6"/>
                    <w:adjustRightInd w:val="0"/>
                    <w:spacing w:before="0" w:line="240" w:lineRule="auto"/>
                    <w:ind w:firstLine="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一次</w:t>
                  </w:r>
                </w:p>
              </w:tc>
              <w:tc>
                <w:tcPr>
                  <w:tcW w:w="1223" w:type="dxa"/>
                </w:tcPr>
                <w:p>
                  <w:pPr>
                    <w:pStyle w:val="6"/>
                    <w:adjustRightInd w:val="0"/>
                    <w:spacing w:before="0" w:line="240" w:lineRule="auto"/>
                    <w:ind w:firstLine="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0.01</w:t>
                  </w:r>
                </w:p>
              </w:tc>
              <w:tc>
                <w:tcPr>
                  <w:tcW w:w="996" w:type="dxa"/>
                  <w:vMerge w:val="continue"/>
                </w:tcPr>
                <w:p>
                  <w:pPr>
                    <w:pStyle w:val="6"/>
                    <w:adjustRightInd w:val="0"/>
                    <w:spacing w:before="0" w:line="240" w:lineRule="auto"/>
                    <w:ind w:firstLine="0"/>
                    <w:jc w:val="center"/>
                    <w:rPr>
                      <w:rFonts w:ascii="Times New Roman" w:hAnsi="Times New Roman" w:cs="Times New Roman"/>
                      <w:color w:val="auto"/>
                      <w:sz w:val="21"/>
                      <w:szCs w:val="21"/>
                    </w:rPr>
                  </w:pPr>
                </w:p>
              </w:tc>
              <w:tc>
                <w:tcPr>
                  <w:tcW w:w="2698" w:type="dxa"/>
                  <w:vMerge w:val="continue"/>
                </w:tcPr>
                <w:p>
                  <w:pPr>
                    <w:pStyle w:val="6"/>
                    <w:adjustRightInd w:val="0"/>
                    <w:spacing w:before="0" w:line="240" w:lineRule="auto"/>
                    <w:ind w:firstLine="0"/>
                    <w:jc w:val="center"/>
                    <w:rPr>
                      <w:rFonts w:ascii="Times New Roman" w:hAnsi="Times New Roman" w:cs="Times New Roman"/>
                      <w:color w:val="auto"/>
                      <w:sz w:val="21"/>
                      <w:szCs w:val="21"/>
                    </w:rPr>
                  </w:pPr>
                </w:p>
              </w:tc>
            </w:tr>
          </w:tbl>
          <w:p>
            <w:pPr>
              <w:adjustRightInd w:val="0"/>
              <w:snapToGrid w:val="0"/>
              <w:spacing w:line="360" w:lineRule="auto"/>
              <w:ind w:firstLine="482" w:firstLineChars="200"/>
              <w:rPr>
                <w:rFonts w:ascii="Times New Roman" w:hAnsi="Times New Roman" w:cs="Times New Roman"/>
                <w:b/>
                <w:color w:val="auto"/>
                <w:sz w:val="24"/>
              </w:rPr>
            </w:pPr>
            <w:r>
              <w:rPr>
                <w:rFonts w:ascii="Times New Roman" w:hAnsi="Times New Roman" w:cs="Times New Roman"/>
                <w:b/>
                <w:color w:val="auto"/>
                <w:sz w:val="24"/>
              </w:rPr>
              <w:t>2、地表水环境</w:t>
            </w:r>
          </w:p>
          <w:p>
            <w:pPr>
              <w:adjustRightInd w:val="0"/>
              <w:snapToGrid w:val="0"/>
              <w:spacing w:line="360" w:lineRule="auto"/>
              <w:ind w:firstLine="456" w:firstLineChars="200"/>
              <w:rPr>
                <w:rFonts w:ascii="Times New Roman" w:hAnsi="Times New Roman" w:cs="Times New Roman"/>
                <w:color w:val="auto"/>
                <w:sz w:val="24"/>
              </w:rPr>
            </w:pPr>
            <w:r>
              <w:rPr>
                <w:rFonts w:ascii="Times New Roman" w:hAnsi="Times New Roman" w:cs="Times New Roman"/>
                <w:color w:val="auto"/>
                <w:spacing w:val="-6"/>
                <w:sz w:val="24"/>
              </w:rPr>
              <w:t>根据《江苏省水地表（环境）功能区划》，</w:t>
            </w:r>
            <w:r>
              <w:rPr>
                <w:rFonts w:hint="eastAsia" w:ascii="Times New Roman" w:hAnsi="Times New Roman" w:cs="Times New Roman"/>
                <w:color w:val="auto"/>
                <w:spacing w:val="-6"/>
                <w:sz w:val="24"/>
                <w:lang w:eastAsia="zh-CN"/>
              </w:rPr>
              <w:t>太湖水质执行《地表水环境质量标准》（</w:t>
            </w:r>
            <w:r>
              <w:rPr>
                <w:rFonts w:hint="eastAsia" w:ascii="Times New Roman" w:hAnsi="Times New Roman" w:cs="Times New Roman"/>
                <w:color w:val="auto"/>
                <w:spacing w:val="-6"/>
                <w:sz w:val="24"/>
                <w:lang w:val="en-US" w:eastAsia="zh-CN"/>
              </w:rPr>
              <w:t>GB3838-2002</w:t>
            </w:r>
            <w:r>
              <w:rPr>
                <w:rFonts w:hint="eastAsia" w:ascii="Times New Roman" w:hAnsi="Times New Roman" w:cs="Times New Roman"/>
                <w:color w:val="auto"/>
                <w:spacing w:val="-6"/>
                <w:sz w:val="24"/>
                <w:lang w:eastAsia="zh-CN"/>
              </w:rPr>
              <w:t>）</w:t>
            </w:r>
            <w:r>
              <w:rPr>
                <w:rFonts w:hint="eastAsia" w:ascii="Times New Roman" w:hAnsi="Times New Roman" w:cs="Times New Roman"/>
                <w:color w:val="auto"/>
                <w:spacing w:val="-6"/>
                <w:sz w:val="24"/>
                <w:lang w:val="en-US" w:eastAsia="zh-CN"/>
              </w:rPr>
              <w:t>II类标准；</w:t>
            </w:r>
            <w:r>
              <w:rPr>
                <w:rFonts w:hint="eastAsia" w:ascii="Times New Roman" w:hAnsi="Times New Roman" w:cs="Times New Roman"/>
                <w:color w:val="auto"/>
                <w:spacing w:val="-6"/>
                <w:sz w:val="24"/>
              </w:rPr>
              <w:t>项目污水受纳水体</w:t>
            </w:r>
            <w:r>
              <w:rPr>
                <w:rFonts w:ascii="Times New Roman" w:hAnsi="Times New Roman" w:cs="Times New Roman"/>
                <w:color w:val="auto"/>
                <w:sz w:val="24"/>
              </w:rPr>
              <w:t>流蠡河</w:t>
            </w:r>
            <w:r>
              <w:rPr>
                <w:rFonts w:hint="eastAsia" w:ascii="Times New Roman" w:hAnsi="Times New Roman" w:cs="Times New Roman"/>
                <w:color w:val="auto"/>
                <w:sz w:val="24"/>
              </w:rPr>
              <w:t>以及周边河流</w:t>
            </w:r>
            <w:r>
              <w:rPr>
                <w:rFonts w:ascii="Times New Roman" w:hAnsi="Times New Roman" w:cs="Times New Roman"/>
                <w:color w:val="auto"/>
                <w:sz w:val="24"/>
              </w:rPr>
              <w:t>执行《地表水环境质量标准》（GB3838-2002）Ⅲ类标准。具体标准值见表4-2。</w:t>
            </w:r>
          </w:p>
          <w:p>
            <w:pPr>
              <w:adjustRightInd w:val="0"/>
              <w:snapToGrid w:val="0"/>
              <w:jc w:val="center"/>
              <w:rPr>
                <w:rFonts w:ascii="Times New Roman" w:hAnsi="Times New Roman" w:cs="Times New Roman"/>
                <w:color w:val="auto"/>
                <w:szCs w:val="21"/>
              </w:rPr>
            </w:pPr>
            <w:r>
              <w:rPr>
                <w:rFonts w:ascii="Times New Roman" w:hAnsi="Times New Roman" w:cs="Times New Roman"/>
                <w:b/>
                <w:color w:val="auto"/>
                <w:sz w:val="24"/>
              </w:rPr>
              <w:t>表4-2  地表水环境质量标准</w:t>
            </w:r>
            <w:r>
              <w:rPr>
                <w:rFonts w:ascii="Times New Roman" w:hAnsi="Times New Roman" w:cs="Times New Roman"/>
                <w:b/>
                <w:color w:val="auto"/>
                <w:sz w:val="24"/>
                <w:szCs w:val="24"/>
              </w:rPr>
              <w:t xml:space="preserve">  单位：mg/L</w:t>
            </w:r>
          </w:p>
          <w:tbl>
            <w:tblPr>
              <w:tblStyle w:val="16"/>
              <w:tblW w:w="819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1792"/>
              <w:gridCol w:w="1791"/>
              <w:gridCol w:w="252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087"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污染物名称</w:t>
                  </w:r>
                </w:p>
              </w:tc>
              <w:tc>
                <w:tcPr>
                  <w:tcW w:w="1792" w:type="dxa"/>
                  <w:tcBorders>
                    <w:tl2br w:val="nil"/>
                    <w:tr2bl w:val="nil"/>
                  </w:tcBorders>
                  <w:vAlign w:val="center"/>
                </w:tcPr>
                <w:p>
                  <w:pPr>
                    <w:adjustRightInd w:val="0"/>
                    <w:snapToGrid w:val="0"/>
                    <w:jc w:val="center"/>
                    <w:rPr>
                      <w:rFonts w:hint="eastAsia" w:ascii="Times New Roman" w:hAnsi="Times New Roman" w:cs="Times New Roman" w:eastAsiaTheme="minorEastAsia"/>
                      <w:b/>
                      <w:color w:val="auto"/>
                      <w:szCs w:val="21"/>
                      <w:lang w:val="en-US" w:eastAsia="zh-CN"/>
                    </w:rPr>
                  </w:pPr>
                  <w:r>
                    <w:rPr>
                      <w:rFonts w:hint="eastAsia" w:ascii="Times New Roman" w:hAnsi="Times New Roman" w:cs="Times New Roman"/>
                      <w:b/>
                      <w:color w:val="auto"/>
                      <w:szCs w:val="21"/>
                      <w:lang w:val="en-US" w:eastAsia="zh-CN"/>
                    </w:rPr>
                    <w:t>II类标准</w:t>
                  </w:r>
                </w:p>
              </w:tc>
              <w:tc>
                <w:tcPr>
                  <w:tcW w:w="1791" w:type="dxa"/>
                  <w:tcBorders>
                    <w:tl2br w:val="nil"/>
                    <w:tr2bl w:val="nil"/>
                  </w:tcBorders>
                  <w:vAlign w:val="center"/>
                </w:tcPr>
                <w:p>
                  <w:pPr>
                    <w:adjustRightInd w:val="0"/>
                    <w:snapToGrid w:val="0"/>
                    <w:jc w:val="center"/>
                    <w:rPr>
                      <w:color w:val="auto"/>
                    </w:rPr>
                  </w:pPr>
                  <w:r>
                    <w:rPr>
                      <w:rFonts w:ascii="Times New Roman" w:hAnsi="Times New Roman" w:cs="Times New Roman"/>
                      <w:b/>
                      <w:color w:val="auto"/>
                      <w:szCs w:val="21"/>
                    </w:rPr>
                    <w:t>Ⅲ类标准</w:t>
                  </w:r>
                </w:p>
              </w:tc>
              <w:tc>
                <w:tcPr>
                  <w:tcW w:w="2524"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087"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pH</w:t>
                  </w:r>
                </w:p>
              </w:tc>
              <w:tc>
                <w:tcPr>
                  <w:tcW w:w="1792"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6～9（无量纲）</w:t>
                  </w:r>
                </w:p>
              </w:tc>
              <w:tc>
                <w:tcPr>
                  <w:tcW w:w="1791" w:type="dxa"/>
                  <w:tcBorders>
                    <w:tl2br w:val="nil"/>
                    <w:tr2bl w:val="nil"/>
                  </w:tcBorders>
                  <w:vAlign w:val="center"/>
                </w:tcPr>
                <w:p>
                  <w:pPr>
                    <w:adjustRightInd w:val="0"/>
                    <w:snapToGrid w:val="0"/>
                    <w:jc w:val="center"/>
                    <w:rPr>
                      <w:color w:val="auto"/>
                    </w:rPr>
                  </w:pPr>
                  <w:r>
                    <w:rPr>
                      <w:rFonts w:ascii="Times New Roman" w:hAnsi="Times New Roman" w:cs="Times New Roman"/>
                      <w:color w:val="auto"/>
                      <w:szCs w:val="21"/>
                    </w:rPr>
                    <w:t>6～9（无量纲）</w:t>
                  </w:r>
                </w:p>
              </w:tc>
              <w:tc>
                <w:tcPr>
                  <w:tcW w:w="2524" w:type="dxa"/>
                  <w:vMerge w:val="restart"/>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《地表水环境质量标准》（GB3838-2002）表1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087"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COD≤</w:t>
                  </w:r>
                </w:p>
              </w:tc>
              <w:tc>
                <w:tcPr>
                  <w:tcW w:w="1792" w:type="dxa"/>
                  <w:tcBorders>
                    <w:tl2br w:val="nil"/>
                    <w:tr2bl w:val="nil"/>
                  </w:tcBorders>
                  <w:vAlign w:val="center"/>
                </w:tcPr>
                <w:p>
                  <w:pPr>
                    <w:adjustRightInd w:val="0"/>
                    <w:snapToGrid w:val="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15</w:t>
                  </w:r>
                </w:p>
              </w:tc>
              <w:tc>
                <w:tcPr>
                  <w:tcW w:w="1791" w:type="dxa"/>
                  <w:tcBorders>
                    <w:tl2br w:val="nil"/>
                    <w:tr2bl w:val="nil"/>
                  </w:tcBorders>
                  <w:vAlign w:val="center"/>
                </w:tcPr>
                <w:p>
                  <w:pPr>
                    <w:adjustRightInd w:val="0"/>
                    <w:snapToGrid w:val="0"/>
                    <w:jc w:val="center"/>
                    <w:rPr>
                      <w:color w:val="auto"/>
                    </w:rPr>
                  </w:pPr>
                  <w:r>
                    <w:rPr>
                      <w:rFonts w:ascii="Times New Roman" w:hAnsi="Times New Roman" w:cs="Times New Roman"/>
                      <w:color w:val="auto"/>
                      <w:szCs w:val="21"/>
                    </w:rPr>
                    <w:t>20</w:t>
                  </w:r>
                </w:p>
              </w:tc>
              <w:tc>
                <w:tcPr>
                  <w:tcW w:w="2524" w:type="dxa"/>
                  <w:vMerge w:val="continue"/>
                  <w:tcBorders>
                    <w:tl2br w:val="nil"/>
                    <w:tr2bl w:val="nil"/>
                  </w:tcBorders>
                  <w:vAlign w:val="center"/>
                </w:tcPr>
                <w:p>
                  <w:pPr>
                    <w:adjustRightInd w:val="0"/>
                    <w:snapToGrid w:val="0"/>
                    <w:jc w:val="center"/>
                    <w:rPr>
                      <w:rFonts w:ascii="Times New Roman" w:hAnsi="Times New Roman" w:cs="Times New Roman"/>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087"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总磷</w:t>
                  </w:r>
                  <w:r>
                    <w:rPr>
                      <w:rFonts w:hint="eastAsia" w:ascii="Times New Roman" w:hAnsi="Times New Roman" w:cs="Times New Roman"/>
                      <w:color w:val="auto"/>
                      <w:szCs w:val="21"/>
                    </w:rPr>
                    <w:t>（</w:t>
                  </w:r>
                  <w:r>
                    <w:rPr>
                      <w:rFonts w:ascii="Times New Roman" w:hAnsi="Times New Roman" w:cs="Times New Roman"/>
                      <w:color w:val="auto"/>
                      <w:szCs w:val="21"/>
                    </w:rPr>
                    <w:t>以P计</w:t>
                  </w:r>
                  <w:r>
                    <w:rPr>
                      <w:rFonts w:hint="eastAsia" w:ascii="Times New Roman" w:hAnsi="Times New Roman" w:cs="Times New Roman"/>
                      <w:color w:val="auto"/>
                      <w:szCs w:val="21"/>
                    </w:rPr>
                    <w:t>）</w:t>
                  </w:r>
                  <w:r>
                    <w:rPr>
                      <w:rFonts w:ascii="Times New Roman" w:hAnsi="Times New Roman" w:cs="Times New Roman"/>
                      <w:color w:val="auto"/>
                      <w:szCs w:val="21"/>
                    </w:rPr>
                    <w:t>≤</w:t>
                  </w:r>
                </w:p>
              </w:tc>
              <w:tc>
                <w:tcPr>
                  <w:tcW w:w="1792" w:type="dxa"/>
                  <w:tcBorders>
                    <w:tl2br w:val="nil"/>
                    <w:tr2bl w:val="nil"/>
                  </w:tcBorders>
                  <w:vAlign w:val="center"/>
                </w:tcPr>
                <w:p>
                  <w:pPr>
                    <w:adjustRightInd w:val="0"/>
                    <w:snapToGrid w:val="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0.025</w:t>
                  </w:r>
                </w:p>
              </w:tc>
              <w:tc>
                <w:tcPr>
                  <w:tcW w:w="1791" w:type="dxa"/>
                  <w:tcBorders>
                    <w:tl2br w:val="nil"/>
                    <w:tr2bl w:val="nil"/>
                  </w:tcBorders>
                  <w:vAlign w:val="center"/>
                </w:tcPr>
                <w:p>
                  <w:pPr>
                    <w:adjustRightInd w:val="0"/>
                    <w:snapToGrid w:val="0"/>
                    <w:jc w:val="center"/>
                    <w:rPr>
                      <w:color w:val="auto"/>
                    </w:rPr>
                  </w:pPr>
                  <w:r>
                    <w:rPr>
                      <w:rFonts w:ascii="Times New Roman" w:hAnsi="Times New Roman" w:cs="Times New Roman"/>
                      <w:color w:val="auto"/>
                      <w:szCs w:val="21"/>
                    </w:rPr>
                    <w:t>0.2</w:t>
                  </w:r>
                </w:p>
              </w:tc>
              <w:tc>
                <w:tcPr>
                  <w:tcW w:w="2524" w:type="dxa"/>
                  <w:vMerge w:val="continue"/>
                  <w:tcBorders>
                    <w:tl2br w:val="nil"/>
                    <w:tr2bl w:val="nil"/>
                  </w:tcBorders>
                  <w:vAlign w:val="center"/>
                </w:tcPr>
                <w:p>
                  <w:pPr>
                    <w:adjustRightInd w:val="0"/>
                    <w:snapToGrid w:val="0"/>
                    <w:jc w:val="center"/>
                    <w:rPr>
                      <w:rFonts w:ascii="Times New Roman" w:hAnsi="Times New Roman" w:cs="Times New Roman"/>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087"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氨氮（NH</w:t>
                  </w:r>
                  <w:r>
                    <w:rPr>
                      <w:rFonts w:ascii="Times New Roman" w:hAnsi="Times New Roman" w:cs="Times New Roman"/>
                      <w:color w:val="auto"/>
                      <w:szCs w:val="21"/>
                      <w:vertAlign w:val="subscript"/>
                    </w:rPr>
                    <w:t>3</w:t>
                  </w:r>
                  <w:r>
                    <w:rPr>
                      <w:rFonts w:ascii="Times New Roman" w:hAnsi="Times New Roman" w:cs="Times New Roman"/>
                      <w:color w:val="auto"/>
                      <w:szCs w:val="21"/>
                    </w:rPr>
                    <w:t>-N）≤</w:t>
                  </w:r>
                </w:p>
              </w:tc>
              <w:tc>
                <w:tcPr>
                  <w:tcW w:w="1792" w:type="dxa"/>
                  <w:tcBorders>
                    <w:tl2br w:val="nil"/>
                    <w:tr2bl w:val="nil"/>
                  </w:tcBorders>
                  <w:vAlign w:val="center"/>
                </w:tcPr>
                <w:p>
                  <w:pPr>
                    <w:adjustRightInd w:val="0"/>
                    <w:snapToGrid w:val="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0.5</w:t>
                  </w:r>
                </w:p>
              </w:tc>
              <w:tc>
                <w:tcPr>
                  <w:tcW w:w="1791" w:type="dxa"/>
                  <w:tcBorders>
                    <w:tl2br w:val="nil"/>
                    <w:tr2bl w:val="nil"/>
                  </w:tcBorders>
                  <w:vAlign w:val="center"/>
                </w:tcPr>
                <w:p>
                  <w:pPr>
                    <w:adjustRightInd w:val="0"/>
                    <w:snapToGrid w:val="0"/>
                    <w:jc w:val="center"/>
                    <w:rPr>
                      <w:color w:val="auto"/>
                    </w:rPr>
                  </w:pPr>
                  <w:r>
                    <w:rPr>
                      <w:rFonts w:ascii="Times New Roman" w:hAnsi="Times New Roman" w:cs="Times New Roman"/>
                      <w:color w:val="auto"/>
                      <w:szCs w:val="21"/>
                    </w:rPr>
                    <w:t>1.0</w:t>
                  </w:r>
                </w:p>
              </w:tc>
              <w:tc>
                <w:tcPr>
                  <w:tcW w:w="2524" w:type="dxa"/>
                  <w:vMerge w:val="continue"/>
                  <w:tcBorders>
                    <w:tl2br w:val="nil"/>
                    <w:tr2bl w:val="nil"/>
                  </w:tcBorders>
                  <w:vAlign w:val="center"/>
                </w:tcPr>
                <w:p>
                  <w:pPr>
                    <w:adjustRightInd w:val="0"/>
                    <w:snapToGrid w:val="0"/>
                    <w:jc w:val="center"/>
                    <w:rPr>
                      <w:rFonts w:ascii="Times New Roman" w:hAnsi="Times New Roman" w:cs="Times New Roman"/>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087"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石油类≤</w:t>
                  </w:r>
                </w:p>
              </w:tc>
              <w:tc>
                <w:tcPr>
                  <w:tcW w:w="1792" w:type="dxa"/>
                  <w:tcBorders>
                    <w:tl2br w:val="nil"/>
                    <w:tr2bl w:val="nil"/>
                  </w:tcBorders>
                  <w:vAlign w:val="center"/>
                </w:tcPr>
                <w:p>
                  <w:pPr>
                    <w:adjustRightInd w:val="0"/>
                    <w:snapToGrid w:val="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0.05</w:t>
                  </w:r>
                </w:p>
              </w:tc>
              <w:tc>
                <w:tcPr>
                  <w:tcW w:w="1791" w:type="dxa"/>
                  <w:tcBorders>
                    <w:tl2br w:val="nil"/>
                    <w:tr2bl w:val="nil"/>
                  </w:tcBorders>
                  <w:vAlign w:val="center"/>
                </w:tcPr>
                <w:p>
                  <w:pPr>
                    <w:adjustRightInd w:val="0"/>
                    <w:snapToGrid w:val="0"/>
                    <w:jc w:val="center"/>
                    <w:rPr>
                      <w:color w:val="auto"/>
                    </w:rPr>
                  </w:pPr>
                  <w:r>
                    <w:rPr>
                      <w:rFonts w:ascii="Times New Roman" w:hAnsi="Times New Roman" w:cs="Times New Roman"/>
                      <w:color w:val="auto"/>
                      <w:szCs w:val="21"/>
                    </w:rPr>
                    <w:t>0.05</w:t>
                  </w:r>
                </w:p>
              </w:tc>
              <w:tc>
                <w:tcPr>
                  <w:tcW w:w="2524" w:type="dxa"/>
                  <w:vMerge w:val="continue"/>
                  <w:tcBorders>
                    <w:tl2br w:val="nil"/>
                    <w:tr2bl w:val="nil"/>
                  </w:tcBorders>
                  <w:vAlign w:val="center"/>
                </w:tcPr>
                <w:p>
                  <w:pPr>
                    <w:adjustRightInd w:val="0"/>
                    <w:snapToGrid w:val="0"/>
                    <w:jc w:val="center"/>
                    <w:rPr>
                      <w:rFonts w:ascii="Times New Roman" w:hAnsi="Times New Roman" w:cs="Times New Roman"/>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087"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高锰酸盐指数≤</w:t>
                  </w:r>
                </w:p>
              </w:tc>
              <w:tc>
                <w:tcPr>
                  <w:tcW w:w="1792" w:type="dxa"/>
                  <w:tcBorders>
                    <w:tl2br w:val="nil"/>
                    <w:tr2bl w:val="nil"/>
                  </w:tcBorders>
                  <w:vAlign w:val="center"/>
                </w:tcPr>
                <w:p>
                  <w:pPr>
                    <w:adjustRightInd w:val="0"/>
                    <w:snapToGrid w:val="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4</w:t>
                  </w:r>
                </w:p>
              </w:tc>
              <w:tc>
                <w:tcPr>
                  <w:tcW w:w="1791" w:type="dxa"/>
                  <w:tcBorders>
                    <w:tl2br w:val="nil"/>
                    <w:tr2bl w:val="nil"/>
                  </w:tcBorders>
                  <w:vAlign w:val="center"/>
                </w:tcPr>
                <w:p>
                  <w:pPr>
                    <w:adjustRightInd w:val="0"/>
                    <w:snapToGrid w:val="0"/>
                    <w:jc w:val="center"/>
                    <w:rPr>
                      <w:color w:val="auto"/>
                    </w:rPr>
                  </w:pPr>
                  <w:r>
                    <w:rPr>
                      <w:rFonts w:ascii="Times New Roman" w:hAnsi="Times New Roman" w:cs="Times New Roman"/>
                      <w:color w:val="auto"/>
                      <w:szCs w:val="21"/>
                    </w:rPr>
                    <w:t>6</w:t>
                  </w:r>
                </w:p>
              </w:tc>
              <w:tc>
                <w:tcPr>
                  <w:tcW w:w="2524" w:type="dxa"/>
                  <w:vMerge w:val="continue"/>
                  <w:tcBorders>
                    <w:tl2br w:val="nil"/>
                    <w:tr2bl w:val="nil"/>
                  </w:tcBorders>
                  <w:vAlign w:val="center"/>
                </w:tcPr>
                <w:p>
                  <w:pPr>
                    <w:adjustRightInd w:val="0"/>
                    <w:snapToGrid w:val="0"/>
                    <w:jc w:val="center"/>
                    <w:rPr>
                      <w:rFonts w:ascii="Times New Roman" w:hAnsi="Times New Roman" w:cs="Times New Roman"/>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087"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BOD</w:t>
                  </w:r>
                  <w:r>
                    <w:rPr>
                      <w:rFonts w:ascii="Times New Roman" w:hAnsi="Times New Roman" w:cs="Times New Roman"/>
                      <w:color w:val="auto"/>
                      <w:szCs w:val="21"/>
                      <w:vertAlign w:val="subscript"/>
                    </w:rPr>
                    <w:t>5</w:t>
                  </w:r>
                  <w:r>
                    <w:rPr>
                      <w:rFonts w:ascii="Times New Roman" w:hAnsi="Times New Roman" w:cs="Times New Roman"/>
                      <w:color w:val="auto"/>
                      <w:szCs w:val="21"/>
                    </w:rPr>
                    <w:t>≤</w:t>
                  </w:r>
                </w:p>
              </w:tc>
              <w:tc>
                <w:tcPr>
                  <w:tcW w:w="1792" w:type="dxa"/>
                  <w:tcBorders>
                    <w:tl2br w:val="nil"/>
                    <w:tr2bl w:val="nil"/>
                  </w:tcBorders>
                  <w:vAlign w:val="center"/>
                </w:tcPr>
                <w:p>
                  <w:pPr>
                    <w:adjustRightInd w:val="0"/>
                    <w:snapToGrid w:val="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3</w:t>
                  </w:r>
                </w:p>
              </w:tc>
              <w:tc>
                <w:tcPr>
                  <w:tcW w:w="1791" w:type="dxa"/>
                  <w:tcBorders>
                    <w:tl2br w:val="nil"/>
                    <w:tr2bl w:val="nil"/>
                  </w:tcBorders>
                  <w:vAlign w:val="center"/>
                </w:tcPr>
                <w:p>
                  <w:pPr>
                    <w:adjustRightInd w:val="0"/>
                    <w:snapToGrid w:val="0"/>
                    <w:jc w:val="center"/>
                    <w:rPr>
                      <w:color w:val="auto"/>
                    </w:rPr>
                  </w:pPr>
                  <w:r>
                    <w:rPr>
                      <w:rFonts w:ascii="Times New Roman" w:hAnsi="Times New Roman" w:cs="Times New Roman"/>
                      <w:color w:val="auto"/>
                      <w:szCs w:val="21"/>
                    </w:rPr>
                    <w:t>4</w:t>
                  </w:r>
                </w:p>
              </w:tc>
              <w:tc>
                <w:tcPr>
                  <w:tcW w:w="2524" w:type="dxa"/>
                  <w:vMerge w:val="continue"/>
                  <w:tcBorders>
                    <w:tl2br w:val="nil"/>
                    <w:tr2bl w:val="nil"/>
                  </w:tcBorders>
                  <w:vAlign w:val="center"/>
                </w:tcPr>
                <w:p>
                  <w:pPr>
                    <w:adjustRightInd w:val="0"/>
                    <w:snapToGrid w:val="0"/>
                    <w:jc w:val="center"/>
                    <w:rPr>
                      <w:rFonts w:ascii="Times New Roman" w:hAnsi="Times New Roman" w:cs="Times New Roman"/>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087"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溶解氧≥</w:t>
                  </w:r>
                </w:p>
              </w:tc>
              <w:tc>
                <w:tcPr>
                  <w:tcW w:w="1792" w:type="dxa"/>
                  <w:tcBorders>
                    <w:tl2br w:val="nil"/>
                    <w:tr2bl w:val="nil"/>
                  </w:tcBorders>
                  <w:vAlign w:val="center"/>
                </w:tcPr>
                <w:p>
                  <w:pPr>
                    <w:adjustRightInd w:val="0"/>
                    <w:snapToGrid w:val="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6</w:t>
                  </w:r>
                </w:p>
              </w:tc>
              <w:tc>
                <w:tcPr>
                  <w:tcW w:w="1791" w:type="dxa"/>
                  <w:tcBorders>
                    <w:tl2br w:val="nil"/>
                    <w:tr2bl w:val="nil"/>
                  </w:tcBorders>
                  <w:vAlign w:val="center"/>
                </w:tcPr>
                <w:p>
                  <w:pPr>
                    <w:adjustRightInd w:val="0"/>
                    <w:snapToGrid w:val="0"/>
                    <w:jc w:val="center"/>
                    <w:rPr>
                      <w:color w:val="auto"/>
                    </w:rPr>
                  </w:pPr>
                  <w:r>
                    <w:rPr>
                      <w:rFonts w:ascii="Times New Roman" w:hAnsi="Times New Roman" w:cs="Times New Roman"/>
                      <w:color w:val="auto"/>
                      <w:szCs w:val="21"/>
                    </w:rPr>
                    <w:t>5.0</w:t>
                  </w:r>
                </w:p>
              </w:tc>
              <w:tc>
                <w:tcPr>
                  <w:tcW w:w="2524" w:type="dxa"/>
                  <w:vMerge w:val="continue"/>
                  <w:tcBorders>
                    <w:tl2br w:val="nil"/>
                    <w:tr2bl w:val="nil"/>
                  </w:tcBorders>
                  <w:vAlign w:val="center"/>
                </w:tcPr>
                <w:p>
                  <w:pPr>
                    <w:adjustRightInd w:val="0"/>
                    <w:snapToGrid w:val="0"/>
                    <w:jc w:val="center"/>
                    <w:rPr>
                      <w:rFonts w:ascii="Times New Roman" w:hAnsi="Times New Roman" w:cs="Times New Roman"/>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087"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SS</w:t>
                  </w:r>
                  <w:r>
                    <w:rPr>
                      <w:rFonts w:ascii="Times New Roman" w:hAnsi="Times New Roman" w:cs="Times New Roman"/>
                      <w:color w:val="auto"/>
                      <w:szCs w:val="21"/>
                    </w:rPr>
                    <w:t>≤</w:t>
                  </w:r>
                </w:p>
              </w:tc>
              <w:tc>
                <w:tcPr>
                  <w:tcW w:w="1792" w:type="dxa"/>
                  <w:tcBorders>
                    <w:tl2br w:val="nil"/>
                    <w:tr2bl w:val="nil"/>
                  </w:tcBorders>
                  <w:vAlign w:val="center"/>
                </w:tcPr>
                <w:p>
                  <w:pPr>
                    <w:adjustRightInd w:val="0"/>
                    <w:snapToGrid w:val="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25</w:t>
                  </w:r>
                </w:p>
              </w:tc>
              <w:tc>
                <w:tcPr>
                  <w:tcW w:w="1791" w:type="dxa"/>
                  <w:tcBorders>
                    <w:tl2br w:val="nil"/>
                    <w:tr2bl w:val="nil"/>
                  </w:tcBorders>
                  <w:vAlign w:val="center"/>
                </w:tcPr>
                <w:p>
                  <w:pPr>
                    <w:adjustRightInd w:val="0"/>
                    <w:snapToGrid w:val="0"/>
                    <w:jc w:val="center"/>
                    <w:rPr>
                      <w:color w:val="auto"/>
                    </w:rPr>
                  </w:pPr>
                  <w:r>
                    <w:rPr>
                      <w:rFonts w:hint="eastAsia" w:ascii="Times New Roman" w:hAnsi="Times New Roman" w:cs="Times New Roman"/>
                      <w:color w:val="auto"/>
                      <w:szCs w:val="21"/>
                    </w:rPr>
                    <w:t>30</w:t>
                  </w:r>
                </w:p>
              </w:tc>
              <w:tc>
                <w:tcPr>
                  <w:tcW w:w="2524"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《地表水资源质量标准》（SL63-94）</w:t>
                  </w:r>
                </w:p>
              </w:tc>
            </w:tr>
          </w:tbl>
          <w:p>
            <w:pPr>
              <w:adjustRightInd w:val="0"/>
              <w:snapToGrid w:val="0"/>
              <w:spacing w:line="360" w:lineRule="auto"/>
              <w:ind w:firstLine="482" w:firstLineChars="200"/>
              <w:rPr>
                <w:rFonts w:ascii="Times New Roman" w:hAnsi="Times New Roman" w:cs="Times New Roman"/>
                <w:b/>
                <w:color w:val="auto"/>
                <w:sz w:val="24"/>
              </w:rPr>
            </w:pPr>
            <w:r>
              <w:rPr>
                <w:rFonts w:ascii="Times New Roman" w:hAnsi="Times New Roman" w:cs="Times New Roman"/>
                <w:b/>
                <w:color w:val="auto"/>
                <w:sz w:val="24"/>
              </w:rPr>
              <w:t>3、声环境</w:t>
            </w:r>
          </w:p>
          <w:p>
            <w:pPr>
              <w:adjustRightInd w:val="0"/>
              <w:snapToGrid w:val="0"/>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项目声环境执行《声环境质量标准》</w:t>
            </w:r>
            <w:r>
              <w:rPr>
                <w:rFonts w:hint="eastAsia" w:ascii="Times New Roman" w:hAnsi="Times New Roman" w:cs="Times New Roman"/>
                <w:color w:val="auto"/>
                <w:sz w:val="24"/>
              </w:rPr>
              <w:t>（G</w:t>
            </w:r>
            <w:r>
              <w:rPr>
                <w:rFonts w:ascii="Times New Roman" w:hAnsi="Times New Roman" w:cs="Times New Roman"/>
                <w:color w:val="auto"/>
                <w:sz w:val="24"/>
              </w:rPr>
              <w:t>B3096-2008</w:t>
            </w:r>
            <w:r>
              <w:rPr>
                <w:rFonts w:hint="eastAsia" w:ascii="Times New Roman" w:hAnsi="Times New Roman" w:cs="Times New Roman"/>
                <w:color w:val="auto"/>
                <w:sz w:val="24"/>
              </w:rPr>
              <w:t>）</w:t>
            </w:r>
            <w:r>
              <w:rPr>
                <w:rFonts w:ascii="Times New Roman" w:hAnsi="Times New Roman" w:cs="Times New Roman"/>
                <w:color w:val="auto"/>
                <w:sz w:val="24"/>
              </w:rPr>
              <w:t>2类区标准，见表4-3。</w:t>
            </w:r>
          </w:p>
          <w:p>
            <w:pPr>
              <w:adjustRightInd w:val="0"/>
              <w:snapToGrid w:val="0"/>
              <w:jc w:val="center"/>
              <w:rPr>
                <w:rFonts w:ascii="Times New Roman" w:hAnsi="Times New Roman" w:cs="Times New Roman"/>
                <w:b/>
                <w:color w:val="auto"/>
                <w:sz w:val="24"/>
              </w:rPr>
            </w:pPr>
            <w:r>
              <w:rPr>
                <w:rFonts w:ascii="Times New Roman" w:hAnsi="Times New Roman" w:cs="Times New Roman"/>
                <w:b/>
                <w:color w:val="auto"/>
                <w:sz w:val="24"/>
              </w:rPr>
              <w:t>表4-3  区域声环境质量标准限值表</w:t>
            </w:r>
          </w:p>
          <w:tbl>
            <w:tblPr>
              <w:tblStyle w:val="16"/>
              <w:tblW w:w="819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53"/>
              <w:gridCol w:w="2115"/>
              <w:gridCol w:w="2113"/>
              <w:gridCol w:w="21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68" w:type="dxa"/>
                  <w:gridSpan w:val="2"/>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标准类别</w:t>
                  </w:r>
                </w:p>
              </w:tc>
              <w:tc>
                <w:tcPr>
                  <w:tcW w:w="2113"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昼间dB(A)</w:t>
                  </w:r>
                </w:p>
              </w:tc>
              <w:tc>
                <w:tcPr>
                  <w:tcW w:w="2113"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夜间dB(A)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53"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环境噪声</w:t>
                  </w:r>
                </w:p>
              </w:tc>
              <w:tc>
                <w:tcPr>
                  <w:tcW w:w="2115"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2类标准</w:t>
                  </w:r>
                </w:p>
              </w:tc>
              <w:tc>
                <w:tcPr>
                  <w:tcW w:w="2113"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60</w:t>
                  </w:r>
                </w:p>
              </w:tc>
              <w:tc>
                <w:tcPr>
                  <w:tcW w:w="2113"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53"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标准来源</w:t>
                  </w:r>
                </w:p>
              </w:tc>
              <w:tc>
                <w:tcPr>
                  <w:tcW w:w="6341" w:type="dxa"/>
                  <w:gridSpan w:val="3"/>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《声环境质量标准》（GB3096-2008）</w:t>
                  </w:r>
                </w:p>
              </w:tc>
            </w:tr>
          </w:tbl>
          <w:p>
            <w:pPr>
              <w:adjustRightInd w:val="0"/>
              <w:snapToGrid w:val="0"/>
              <w:spacing w:line="360" w:lineRule="auto"/>
              <w:rPr>
                <w:rFonts w:ascii="Times New Roman" w:hAnsi="Times New Roman"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567" w:hRule="atLeast"/>
          <w:jc w:val="center"/>
        </w:trPr>
        <w:tc>
          <w:tcPr>
            <w:tcW w:w="570" w:type="dxa"/>
            <w:tcBorders>
              <w:top w:val="single" w:color="auto" w:sz="4" w:space="0"/>
              <w:bottom w:val="single" w:color="auto" w:sz="4" w:space="0"/>
            </w:tcBorders>
            <w:vAlign w:val="center"/>
          </w:tcPr>
          <w:p>
            <w:pPr>
              <w:adjustRightInd w:val="0"/>
              <w:snapToGrid w:val="0"/>
              <w:spacing w:line="312" w:lineRule="auto"/>
              <w:jc w:val="center"/>
              <w:rPr>
                <w:b/>
                <w:bCs/>
                <w:color w:val="auto"/>
                <w:sz w:val="28"/>
                <w:szCs w:val="28"/>
              </w:rPr>
            </w:pPr>
            <w:r>
              <w:rPr>
                <w:b/>
                <w:bCs/>
                <w:color w:val="auto"/>
                <w:sz w:val="28"/>
                <w:szCs w:val="28"/>
              </w:rPr>
              <w:t>污</w:t>
            </w:r>
          </w:p>
          <w:p>
            <w:pPr>
              <w:adjustRightInd w:val="0"/>
              <w:snapToGrid w:val="0"/>
              <w:spacing w:line="312" w:lineRule="auto"/>
              <w:jc w:val="center"/>
              <w:rPr>
                <w:b/>
                <w:bCs/>
                <w:color w:val="auto"/>
                <w:sz w:val="28"/>
                <w:szCs w:val="28"/>
              </w:rPr>
            </w:pPr>
            <w:r>
              <w:rPr>
                <w:b/>
                <w:bCs/>
                <w:color w:val="auto"/>
                <w:sz w:val="28"/>
                <w:szCs w:val="28"/>
              </w:rPr>
              <w:t>染</w:t>
            </w:r>
          </w:p>
          <w:p>
            <w:pPr>
              <w:adjustRightInd w:val="0"/>
              <w:snapToGrid w:val="0"/>
              <w:spacing w:line="312" w:lineRule="auto"/>
              <w:jc w:val="center"/>
              <w:rPr>
                <w:b/>
                <w:bCs/>
                <w:color w:val="auto"/>
                <w:sz w:val="28"/>
                <w:szCs w:val="28"/>
              </w:rPr>
            </w:pPr>
            <w:r>
              <w:rPr>
                <w:b/>
                <w:bCs/>
                <w:color w:val="auto"/>
                <w:sz w:val="28"/>
                <w:szCs w:val="28"/>
              </w:rPr>
              <w:t>物</w:t>
            </w:r>
          </w:p>
          <w:p>
            <w:pPr>
              <w:adjustRightInd w:val="0"/>
              <w:snapToGrid w:val="0"/>
              <w:spacing w:line="312" w:lineRule="auto"/>
              <w:jc w:val="center"/>
              <w:rPr>
                <w:b/>
                <w:bCs/>
                <w:color w:val="auto"/>
                <w:sz w:val="28"/>
                <w:szCs w:val="28"/>
              </w:rPr>
            </w:pPr>
            <w:r>
              <w:rPr>
                <w:b/>
                <w:bCs/>
                <w:color w:val="auto"/>
                <w:sz w:val="28"/>
                <w:szCs w:val="28"/>
              </w:rPr>
              <w:t>排</w:t>
            </w:r>
          </w:p>
          <w:p>
            <w:pPr>
              <w:adjustRightInd w:val="0"/>
              <w:snapToGrid w:val="0"/>
              <w:spacing w:line="312" w:lineRule="auto"/>
              <w:jc w:val="center"/>
              <w:rPr>
                <w:b/>
                <w:bCs/>
                <w:color w:val="auto"/>
                <w:sz w:val="28"/>
                <w:szCs w:val="28"/>
              </w:rPr>
            </w:pPr>
            <w:r>
              <w:rPr>
                <w:b/>
                <w:bCs/>
                <w:color w:val="auto"/>
                <w:sz w:val="28"/>
                <w:szCs w:val="28"/>
              </w:rPr>
              <w:t>放</w:t>
            </w:r>
          </w:p>
          <w:p>
            <w:pPr>
              <w:adjustRightInd w:val="0"/>
              <w:snapToGrid w:val="0"/>
              <w:spacing w:line="312" w:lineRule="auto"/>
              <w:jc w:val="center"/>
              <w:rPr>
                <w:b/>
                <w:bCs/>
                <w:color w:val="auto"/>
                <w:sz w:val="28"/>
                <w:szCs w:val="28"/>
              </w:rPr>
            </w:pPr>
            <w:r>
              <w:rPr>
                <w:b/>
                <w:bCs/>
                <w:color w:val="auto"/>
                <w:sz w:val="28"/>
                <w:szCs w:val="28"/>
              </w:rPr>
              <w:t>标</w:t>
            </w:r>
          </w:p>
          <w:p>
            <w:pPr>
              <w:adjustRightInd w:val="0"/>
              <w:snapToGrid w:val="0"/>
              <w:spacing w:line="312" w:lineRule="auto"/>
              <w:jc w:val="center"/>
              <w:rPr>
                <w:rFonts w:ascii="Times New Roman" w:hAnsi="Times New Roman" w:cs="Times New Roman"/>
                <w:b/>
                <w:bCs/>
                <w:color w:val="auto"/>
                <w:sz w:val="28"/>
                <w:szCs w:val="28"/>
              </w:rPr>
            </w:pPr>
            <w:r>
              <w:rPr>
                <w:b/>
                <w:bCs/>
                <w:color w:val="auto"/>
                <w:sz w:val="28"/>
                <w:szCs w:val="28"/>
              </w:rPr>
              <w:t>准</w:t>
            </w:r>
          </w:p>
        </w:tc>
        <w:tc>
          <w:tcPr>
            <w:tcW w:w="8410" w:type="dxa"/>
            <w:tcBorders>
              <w:top w:val="single" w:color="auto" w:sz="4" w:space="0"/>
              <w:bottom w:val="single" w:color="auto" w:sz="4" w:space="0"/>
            </w:tcBorders>
          </w:tcPr>
          <w:p>
            <w:pPr>
              <w:adjustRightInd w:val="0"/>
              <w:snapToGrid w:val="0"/>
              <w:spacing w:line="360" w:lineRule="auto"/>
              <w:ind w:firstLine="482" w:firstLineChars="200"/>
              <w:rPr>
                <w:rFonts w:ascii="Times New Roman" w:hAnsi="Times New Roman" w:cs="Times New Roman"/>
                <w:b/>
                <w:color w:val="auto"/>
                <w:kern w:val="0"/>
                <w:sz w:val="24"/>
              </w:rPr>
            </w:pPr>
            <w:r>
              <w:rPr>
                <w:rFonts w:ascii="Times New Roman" w:hAnsi="Times New Roman" w:cs="Times New Roman"/>
                <w:b/>
                <w:color w:val="auto"/>
                <w:kern w:val="0"/>
                <w:sz w:val="24"/>
              </w:rPr>
              <w:t>1、废气</w:t>
            </w:r>
          </w:p>
          <w:p>
            <w:pPr>
              <w:adjustRightInd w:val="0"/>
              <w:snapToGrid w:val="0"/>
              <w:spacing w:line="360" w:lineRule="auto"/>
              <w:ind w:firstLine="544" w:firstLineChars="227"/>
              <w:rPr>
                <w:rFonts w:ascii="Times New Roman" w:hAnsi="Times New Roman" w:cs="Times New Roman"/>
                <w:color w:val="auto"/>
                <w:sz w:val="24"/>
              </w:rPr>
            </w:pPr>
            <w:r>
              <w:rPr>
                <w:rFonts w:hint="eastAsia" w:ascii="Times New Roman" w:hAnsi="Times New Roman" w:cs="Times New Roman"/>
                <w:color w:val="auto"/>
                <w:sz w:val="24"/>
                <w:lang w:eastAsia="zh-CN"/>
              </w:rPr>
              <w:t>项目施工期施工及运输车辆产生的尾气</w:t>
            </w:r>
            <w:r>
              <w:rPr>
                <w:rFonts w:hint="eastAsia" w:ascii="Times New Roman" w:hAnsi="Times New Roman" w:cs="Times New Roman"/>
                <w:color w:val="auto"/>
                <w:sz w:val="24"/>
                <w:lang w:val="en-US" w:eastAsia="zh-CN"/>
              </w:rPr>
              <w:t>NOx和非甲烷总烃</w:t>
            </w:r>
            <w:r>
              <w:rPr>
                <w:rFonts w:hint="eastAsia" w:ascii="Times New Roman" w:hAnsi="Times New Roman" w:cs="Times New Roman"/>
                <w:color w:val="auto"/>
                <w:sz w:val="24"/>
                <w:lang w:eastAsia="zh-CN"/>
              </w:rPr>
              <w:t>及</w:t>
            </w:r>
            <w:r>
              <w:rPr>
                <w:rFonts w:hint="eastAsia" w:ascii="Times New Roman" w:hAnsi="Times New Roman" w:cs="Times New Roman"/>
                <w:color w:val="auto"/>
                <w:sz w:val="24"/>
              </w:rPr>
              <w:t>施工期产生的粉尘</w:t>
            </w:r>
            <w:r>
              <w:rPr>
                <w:rFonts w:ascii="Times New Roman" w:hAnsi="Times New Roman" w:cs="Times New Roman"/>
                <w:color w:val="auto"/>
                <w:sz w:val="24"/>
              </w:rPr>
              <w:t>执行《大气污染物综合排放标准》（GB16297-1996）表2中二级标准；</w:t>
            </w:r>
            <w:r>
              <w:rPr>
                <w:rFonts w:hint="eastAsia" w:ascii="Times New Roman" w:hAnsi="Times New Roman" w:cs="Times New Roman"/>
                <w:color w:val="auto"/>
                <w:sz w:val="24"/>
                <w:lang w:val="en-US" w:eastAsia="zh-CN"/>
              </w:rPr>
              <w:t>CO执行《工作场所有害因素职业接触限值-化学有害因素》（GBZ2.1-2007）中的PC-STEL；</w:t>
            </w:r>
            <w:r>
              <w:rPr>
                <w:rFonts w:hint="eastAsia" w:ascii="Times New Roman" w:hAnsi="Times New Roman" w:cs="Times New Roman"/>
                <w:color w:val="auto"/>
                <w:sz w:val="24"/>
              </w:rPr>
              <w:t>河道淤泥</w:t>
            </w:r>
            <w:r>
              <w:rPr>
                <w:rFonts w:ascii="Times New Roman" w:hAnsi="Times New Roman" w:cs="Times New Roman"/>
                <w:color w:val="auto"/>
                <w:sz w:val="24"/>
              </w:rPr>
              <w:t>排放的废气污染物主要为含NH</w:t>
            </w:r>
            <w:r>
              <w:rPr>
                <w:rFonts w:ascii="Times New Roman" w:hAnsi="Times New Roman" w:cs="Times New Roman"/>
                <w:color w:val="auto"/>
                <w:sz w:val="24"/>
                <w:vertAlign w:val="subscript"/>
              </w:rPr>
              <w:t>3</w:t>
            </w:r>
            <w:r>
              <w:rPr>
                <w:rFonts w:ascii="Times New Roman" w:hAnsi="Times New Roman" w:cs="Times New Roman"/>
                <w:color w:val="auto"/>
                <w:sz w:val="24"/>
              </w:rPr>
              <w:t>、H</w:t>
            </w:r>
            <w:r>
              <w:rPr>
                <w:rFonts w:ascii="Times New Roman" w:hAnsi="Times New Roman" w:cs="Times New Roman"/>
                <w:color w:val="auto"/>
                <w:sz w:val="24"/>
                <w:vertAlign w:val="subscript"/>
              </w:rPr>
              <w:t>2</w:t>
            </w:r>
            <w:r>
              <w:rPr>
                <w:rFonts w:ascii="Times New Roman" w:hAnsi="Times New Roman" w:cs="Times New Roman"/>
                <w:color w:val="auto"/>
                <w:sz w:val="24"/>
              </w:rPr>
              <w:t>S的恶臭气体，废气排放执行《恶臭污染物排放标准》（GB14554-93）中表1新改扩建</w:t>
            </w:r>
            <w:r>
              <w:rPr>
                <w:rFonts w:hint="eastAsia" w:ascii="Times New Roman" w:hAnsi="Times New Roman" w:cs="Times New Roman"/>
                <w:color w:val="auto"/>
                <w:sz w:val="24"/>
              </w:rPr>
              <w:t>二级</w:t>
            </w:r>
            <w:r>
              <w:rPr>
                <w:rFonts w:ascii="Times New Roman" w:hAnsi="Times New Roman" w:cs="Times New Roman"/>
                <w:color w:val="auto"/>
                <w:sz w:val="24"/>
              </w:rPr>
              <w:t>标准，具体标准值见表4-4。</w:t>
            </w:r>
          </w:p>
          <w:p>
            <w:pPr>
              <w:adjustRightInd w:val="0"/>
              <w:snapToGrid w:val="0"/>
              <w:jc w:val="center"/>
              <w:rPr>
                <w:rFonts w:ascii="Times New Roman" w:hAnsi="Times New Roman" w:cs="Times New Roman"/>
                <w:b/>
                <w:color w:val="auto"/>
                <w:sz w:val="24"/>
              </w:rPr>
            </w:pPr>
            <w:r>
              <w:rPr>
                <w:rFonts w:ascii="Times New Roman" w:hAnsi="Times New Roman" w:cs="Times New Roman"/>
                <w:b/>
                <w:color w:val="auto"/>
                <w:sz w:val="24"/>
              </w:rPr>
              <w:t>表4-4  废气污染物排放场界标准</w:t>
            </w:r>
          </w:p>
          <w:tbl>
            <w:tblPr>
              <w:tblStyle w:val="16"/>
              <w:tblW w:w="819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751"/>
              <w:gridCol w:w="2034"/>
              <w:gridCol w:w="440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17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cs="Times New Roman"/>
                      <w:b/>
                      <w:color w:val="auto"/>
                      <w:szCs w:val="21"/>
                    </w:rPr>
                  </w:pPr>
                  <w:r>
                    <w:rPr>
                      <w:rFonts w:ascii="Times New Roman" w:hAnsi="Times New Roman" w:cs="Times New Roman"/>
                      <w:b/>
                      <w:color w:val="auto"/>
                      <w:szCs w:val="21"/>
                    </w:rPr>
                    <w:t>污染物</w:t>
                  </w:r>
                </w:p>
              </w:tc>
              <w:tc>
                <w:tcPr>
                  <w:tcW w:w="20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cs="Times New Roman"/>
                      <w:b/>
                      <w:color w:val="auto"/>
                      <w:szCs w:val="21"/>
                      <w:vertAlign w:val="superscript"/>
                    </w:rPr>
                  </w:pPr>
                  <w:r>
                    <w:rPr>
                      <w:rFonts w:ascii="Times New Roman" w:hAnsi="Times New Roman" w:cs="Times New Roman"/>
                      <w:b/>
                      <w:color w:val="auto"/>
                      <w:szCs w:val="21"/>
                    </w:rPr>
                    <w:t>无组织排放监控浓度限值mg/m</w:t>
                  </w:r>
                  <w:r>
                    <w:rPr>
                      <w:rFonts w:ascii="Times New Roman" w:hAnsi="Times New Roman" w:cs="Times New Roman"/>
                      <w:b/>
                      <w:color w:val="auto"/>
                      <w:szCs w:val="21"/>
                      <w:vertAlign w:val="superscript"/>
                    </w:rPr>
                    <w:t>3</w:t>
                  </w:r>
                </w:p>
              </w:tc>
              <w:tc>
                <w:tcPr>
                  <w:tcW w:w="44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cs="Times New Roman"/>
                      <w:b/>
                      <w:color w:val="auto"/>
                      <w:szCs w:val="21"/>
                    </w:rPr>
                  </w:pPr>
                  <w:r>
                    <w:rPr>
                      <w:rFonts w:ascii="Times New Roman" w:hAnsi="Times New Roman" w:cs="Times New Roman"/>
                      <w:b/>
                      <w:color w:val="auto"/>
                      <w:szCs w:val="21"/>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jc w:val="center"/>
              </w:trPr>
              <w:tc>
                <w:tcPr>
                  <w:tcW w:w="17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NOx</w:t>
                  </w:r>
                </w:p>
              </w:tc>
              <w:tc>
                <w:tcPr>
                  <w:tcW w:w="20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0.12</w:t>
                  </w:r>
                </w:p>
              </w:tc>
              <w:tc>
                <w:tcPr>
                  <w:tcW w:w="440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cs="Times New Roman"/>
                      <w:color w:val="auto"/>
                      <w:szCs w:val="21"/>
                    </w:rPr>
                  </w:pPr>
                  <w:r>
                    <w:rPr>
                      <w:rFonts w:ascii="Times New Roman" w:hAnsi="Times New Roman" w:cs="Times New Roman"/>
                      <w:color w:val="auto"/>
                      <w:szCs w:val="21"/>
                    </w:rPr>
                    <w:t>GB16297-1996表2中二级标准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17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eastAsia="zh-CN"/>
                    </w:rPr>
                    <w:t>非甲烷总烃</w:t>
                  </w:r>
                </w:p>
              </w:tc>
              <w:tc>
                <w:tcPr>
                  <w:tcW w:w="20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4.0</w:t>
                  </w:r>
                </w:p>
              </w:tc>
              <w:tc>
                <w:tcPr>
                  <w:tcW w:w="440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cs="Times New Roman"/>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17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cs="Times New Roman"/>
                      <w:color w:val="auto"/>
                      <w:szCs w:val="21"/>
                    </w:rPr>
                  </w:pPr>
                  <w:r>
                    <w:rPr>
                      <w:rFonts w:ascii="Times New Roman" w:hAnsi="Times New Roman" w:cs="Times New Roman"/>
                      <w:color w:val="auto"/>
                      <w:szCs w:val="21"/>
                    </w:rPr>
                    <w:t>颗粒物</w:t>
                  </w:r>
                </w:p>
              </w:tc>
              <w:tc>
                <w:tcPr>
                  <w:tcW w:w="20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cs="Times New Roman"/>
                      <w:color w:val="auto"/>
                      <w:szCs w:val="21"/>
                    </w:rPr>
                  </w:pPr>
                  <w:r>
                    <w:rPr>
                      <w:rFonts w:ascii="Times New Roman" w:hAnsi="Times New Roman" w:cs="Times New Roman"/>
                      <w:color w:val="auto"/>
                      <w:szCs w:val="21"/>
                    </w:rPr>
                    <w:t>120</w:t>
                  </w:r>
                </w:p>
              </w:tc>
              <w:tc>
                <w:tcPr>
                  <w:tcW w:w="440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cs="Times New Roman"/>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17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cs="Times New Roman"/>
                      <w:color w:val="auto"/>
                      <w:szCs w:val="21"/>
                    </w:rPr>
                  </w:pPr>
                  <w:r>
                    <w:rPr>
                      <w:rFonts w:ascii="Times New Roman" w:hAnsi="Times New Roman" w:cs="Times New Roman"/>
                      <w:color w:val="auto"/>
                      <w:szCs w:val="21"/>
                    </w:rPr>
                    <w:t>NH</w:t>
                  </w:r>
                  <w:r>
                    <w:rPr>
                      <w:rFonts w:ascii="Times New Roman" w:hAnsi="Times New Roman" w:cs="Times New Roman"/>
                      <w:color w:val="auto"/>
                      <w:szCs w:val="21"/>
                      <w:vertAlign w:val="subscript"/>
                    </w:rPr>
                    <w:t>3</w:t>
                  </w:r>
                </w:p>
              </w:tc>
              <w:tc>
                <w:tcPr>
                  <w:tcW w:w="20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cs="Times New Roman"/>
                      <w:color w:val="auto"/>
                      <w:szCs w:val="21"/>
                    </w:rPr>
                  </w:pPr>
                  <w:r>
                    <w:rPr>
                      <w:rFonts w:ascii="Times New Roman" w:hAnsi="Times New Roman" w:cs="Times New Roman"/>
                      <w:color w:val="auto"/>
                      <w:szCs w:val="21"/>
                    </w:rPr>
                    <w:t>1.5</w:t>
                  </w:r>
                </w:p>
              </w:tc>
              <w:tc>
                <w:tcPr>
                  <w:tcW w:w="440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cs="Times New Roman"/>
                      <w:color w:val="auto"/>
                      <w:szCs w:val="21"/>
                    </w:rPr>
                  </w:pPr>
                  <w:r>
                    <w:rPr>
                      <w:rFonts w:ascii="Times New Roman" w:hAnsi="Times New Roman" w:cs="Times New Roman"/>
                      <w:color w:val="auto"/>
                      <w:szCs w:val="21"/>
                    </w:rPr>
                    <w:t>GB14554-93表1新改扩建标准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17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cs="Times New Roman"/>
                      <w:color w:val="auto"/>
                      <w:szCs w:val="21"/>
                    </w:rPr>
                  </w:pPr>
                  <w:r>
                    <w:rPr>
                      <w:rFonts w:ascii="Times New Roman" w:hAnsi="Times New Roman" w:cs="Times New Roman"/>
                      <w:color w:val="auto"/>
                      <w:szCs w:val="21"/>
                    </w:rPr>
                    <w:t>H</w:t>
                  </w:r>
                  <w:r>
                    <w:rPr>
                      <w:rFonts w:ascii="Times New Roman" w:hAnsi="Times New Roman" w:cs="Times New Roman"/>
                      <w:color w:val="auto"/>
                      <w:szCs w:val="21"/>
                      <w:vertAlign w:val="subscript"/>
                    </w:rPr>
                    <w:t>2</w:t>
                  </w:r>
                  <w:r>
                    <w:rPr>
                      <w:rFonts w:ascii="Times New Roman" w:hAnsi="Times New Roman" w:cs="Times New Roman"/>
                      <w:color w:val="auto"/>
                      <w:szCs w:val="21"/>
                    </w:rPr>
                    <w:t>S</w:t>
                  </w:r>
                </w:p>
              </w:tc>
              <w:tc>
                <w:tcPr>
                  <w:tcW w:w="20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cs="Times New Roman"/>
                      <w:color w:val="auto"/>
                      <w:szCs w:val="21"/>
                    </w:rPr>
                  </w:pPr>
                  <w:r>
                    <w:rPr>
                      <w:rFonts w:ascii="Times New Roman" w:hAnsi="Times New Roman" w:cs="Times New Roman"/>
                      <w:color w:val="auto"/>
                      <w:szCs w:val="21"/>
                    </w:rPr>
                    <w:t>0.06</w:t>
                  </w:r>
                </w:p>
              </w:tc>
              <w:tc>
                <w:tcPr>
                  <w:tcW w:w="440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cs="Times New Roman"/>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17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cs="Times New Roman"/>
                      <w:color w:val="auto"/>
                      <w:szCs w:val="21"/>
                    </w:rPr>
                  </w:pPr>
                  <w:r>
                    <w:rPr>
                      <w:rFonts w:ascii="Times New Roman" w:hAnsi="Times New Roman" w:cs="Times New Roman"/>
                      <w:color w:val="auto"/>
                      <w:szCs w:val="21"/>
                    </w:rPr>
                    <w:t>臭气浓度</w:t>
                  </w:r>
                </w:p>
              </w:tc>
              <w:tc>
                <w:tcPr>
                  <w:tcW w:w="20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cs="Times New Roman"/>
                      <w:color w:val="auto"/>
                      <w:szCs w:val="21"/>
                    </w:rPr>
                  </w:pPr>
                  <w:r>
                    <w:rPr>
                      <w:rFonts w:ascii="Times New Roman" w:hAnsi="Times New Roman" w:cs="Times New Roman"/>
                      <w:color w:val="auto"/>
                      <w:szCs w:val="21"/>
                    </w:rPr>
                    <w:t>20（无量纲）</w:t>
                  </w:r>
                </w:p>
              </w:tc>
              <w:tc>
                <w:tcPr>
                  <w:tcW w:w="440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cs="Times New Roman"/>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17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CO</w:t>
                  </w:r>
                </w:p>
              </w:tc>
              <w:tc>
                <w:tcPr>
                  <w:tcW w:w="20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eastAsia="zh-CN"/>
                    </w:rPr>
                    <w:t>最终允许排放浓度</w:t>
                  </w:r>
                  <w:r>
                    <w:rPr>
                      <w:rFonts w:hint="eastAsia" w:ascii="Times New Roman" w:hAnsi="Times New Roman" w:cs="Times New Roman"/>
                      <w:color w:val="auto"/>
                      <w:szCs w:val="21"/>
                      <w:lang w:val="en-US" w:eastAsia="zh-CN"/>
                    </w:rPr>
                    <w:t>30</w:t>
                  </w:r>
                </w:p>
              </w:tc>
              <w:tc>
                <w:tcPr>
                  <w:tcW w:w="44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Times New Roman" w:hAnsi="Times New Roman" w:cs="Times New Roman"/>
                      <w:color w:val="auto"/>
                      <w:szCs w:val="21"/>
                    </w:rPr>
                  </w:pPr>
                  <w:r>
                    <w:rPr>
                      <w:rFonts w:hint="eastAsia" w:ascii="Times New Roman" w:hAnsi="Times New Roman" w:cs="Times New Roman"/>
                      <w:color w:val="auto"/>
                      <w:szCs w:val="21"/>
                    </w:rPr>
                    <w:t>参考《工作场所有害因素职业接触限值-化学有害因素》（GBZ2.1-2007）中的PC-STEL</w:t>
                  </w:r>
                </w:p>
              </w:tc>
            </w:tr>
          </w:tbl>
          <w:p>
            <w:pPr>
              <w:adjustRightInd w:val="0"/>
              <w:snapToGrid w:val="0"/>
              <w:spacing w:line="360" w:lineRule="auto"/>
              <w:ind w:firstLine="482" w:firstLineChars="200"/>
              <w:rPr>
                <w:rFonts w:ascii="Times New Roman" w:hAnsi="Times New Roman" w:cs="Times New Roman"/>
                <w:b/>
                <w:color w:val="auto"/>
                <w:sz w:val="24"/>
              </w:rPr>
            </w:pPr>
            <w:r>
              <w:rPr>
                <w:rFonts w:ascii="Times New Roman" w:hAnsi="Times New Roman" w:cs="Times New Roman"/>
                <w:b/>
                <w:color w:val="auto"/>
                <w:sz w:val="24"/>
              </w:rPr>
              <w:t>2、废水</w:t>
            </w:r>
          </w:p>
          <w:p>
            <w:pPr>
              <w:adjustRightInd w:val="0"/>
              <w:snapToGrid w:val="0"/>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rPr>
              <w:t>施工期</w:t>
            </w:r>
            <w:r>
              <w:rPr>
                <w:rFonts w:ascii="Times New Roman" w:hAnsi="Times New Roman" w:cs="Times New Roman"/>
                <w:color w:val="auto"/>
                <w:sz w:val="24"/>
              </w:rPr>
              <w:t>生活污水</w:t>
            </w:r>
            <w:r>
              <w:rPr>
                <w:rFonts w:hint="eastAsia" w:ascii="Times New Roman" w:hAnsi="Times New Roman" w:cs="Times New Roman"/>
                <w:color w:val="auto"/>
                <w:sz w:val="24"/>
              </w:rPr>
              <w:t>就近原有的卫生设施收集至</w:t>
            </w:r>
            <w:r>
              <w:rPr>
                <w:rFonts w:ascii="Times New Roman" w:hAnsi="Times New Roman" w:cs="Times New Roman"/>
                <w:color w:val="auto"/>
                <w:sz w:val="24"/>
              </w:rPr>
              <w:t>宜兴市华骐污水处理厂处理，</w:t>
            </w:r>
            <w:r>
              <w:rPr>
                <w:rFonts w:hint="eastAsia" w:ascii="Times New Roman" w:hAnsi="Times New Roman" w:cs="Times New Roman"/>
                <w:color w:val="auto"/>
                <w:sz w:val="24"/>
              </w:rPr>
              <w:t>污水接管执行《污水综合排放标准》（GB8978-1996）表4中三级标准及《污水排入城镇下水道水质标准》（GB/T31962-2015）表1中B级标准要求。</w:t>
            </w:r>
            <w:r>
              <w:rPr>
                <w:rFonts w:ascii="Times New Roman" w:hAnsi="Times New Roman" w:cs="Times New Roman"/>
                <w:color w:val="auto"/>
                <w:sz w:val="24"/>
              </w:rPr>
              <w:t>污水厂尾水排放执行《城镇污水处理厂污染物排放标准》（GB18918-2002）中规定的一级标准的A标准及《太湖地区城镇污水处理厂及重点工业行业主要水污染物排放限值》</w:t>
            </w:r>
            <w:r>
              <w:rPr>
                <w:rFonts w:hint="eastAsia" w:ascii="Times New Roman" w:hAnsi="Times New Roman" w:cs="Times New Roman"/>
                <w:color w:val="auto"/>
                <w:sz w:val="24"/>
              </w:rPr>
              <w:t>（DB32/1072-2007）</w:t>
            </w:r>
            <w:r>
              <w:rPr>
                <w:rFonts w:ascii="Times New Roman" w:hAnsi="Times New Roman" w:cs="Times New Roman"/>
                <w:color w:val="auto"/>
                <w:sz w:val="24"/>
              </w:rPr>
              <w:t>表2的排放限值，见表4-5。</w:t>
            </w:r>
          </w:p>
          <w:p>
            <w:pPr>
              <w:adjustRightInd w:val="0"/>
              <w:snapToGrid w:val="0"/>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项目接管排放浓度限值及污水处理厂最终排放标准具体见表4-5。</w:t>
            </w:r>
          </w:p>
          <w:p>
            <w:pPr>
              <w:adjustRightInd w:val="0"/>
              <w:snapToGrid w:val="0"/>
              <w:spacing w:line="360" w:lineRule="auto"/>
              <w:ind w:firstLine="480" w:firstLineChars="200"/>
              <w:rPr>
                <w:rFonts w:ascii="Times New Roman" w:hAnsi="Times New Roman" w:cs="Times New Roman"/>
                <w:color w:val="auto"/>
                <w:sz w:val="24"/>
              </w:rPr>
            </w:pPr>
          </w:p>
          <w:p>
            <w:pPr>
              <w:adjustRightInd w:val="0"/>
              <w:snapToGrid w:val="0"/>
              <w:spacing w:line="360" w:lineRule="auto"/>
              <w:ind w:firstLine="480" w:firstLineChars="200"/>
              <w:rPr>
                <w:rFonts w:ascii="Times New Roman" w:hAnsi="Times New Roman" w:cs="Times New Roman"/>
                <w:color w:val="auto"/>
                <w:sz w:val="24"/>
              </w:rPr>
            </w:pPr>
          </w:p>
          <w:p>
            <w:pPr>
              <w:adjustRightInd w:val="0"/>
              <w:snapToGrid w:val="0"/>
              <w:jc w:val="center"/>
              <w:rPr>
                <w:rFonts w:ascii="Times New Roman" w:hAnsi="Times New Roman" w:cs="Times New Roman"/>
                <w:color w:val="auto"/>
                <w:sz w:val="24"/>
              </w:rPr>
            </w:pPr>
            <w:r>
              <w:rPr>
                <w:rFonts w:ascii="Times New Roman" w:hAnsi="Times New Roman" w:cs="Times New Roman"/>
                <w:b/>
                <w:color w:val="auto"/>
                <w:sz w:val="24"/>
              </w:rPr>
              <w:t>表4-5  废水排放标准限值表</w:t>
            </w:r>
          </w:p>
          <w:tbl>
            <w:tblPr>
              <w:tblStyle w:val="17"/>
              <w:tblW w:w="819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2909"/>
              <w:gridCol w:w="1386"/>
              <w:gridCol w:w="1190"/>
              <w:gridCol w:w="673"/>
              <w:gridCol w:w="10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35" w:type="dxa"/>
                  <w:tcBorders>
                    <w:tl2br w:val="nil"/>
                    <w:tr2bl w:val="nil"/>
                  </w:tcBorders>
                  <w:vAlign w:val="center"/>
                </w:tcPr>
                <w:p>
                  <w:pPr>
                    <w:adjustRightInd w:val="0"/>
                    <w:snapToGrid w:val="0"/>
                    <w:jc w:val="center"/>
                    <w:rPr>
                      <w:rFonts w:ascii="Times New Roman" w:hAnsi="Times New Roman" w:cs="Times New Roman"/>
                      <w:b/>
                      <w:bCs/>
                      <w:color w:val="auto"/>
                      <w:szCs w:val="21"/>
                    </w:rPr>
                  </w:pPr>
                  <w:r>
                    <w:rPr>
                      <w:rFonts w:hint="eastAsia" w:ascii="Times New Roman" w:hAnsi="Times New Roman" w:cs="Times New Roman"/>
                      <w:b/>
                      <w:bCs/>
                      <w:color w:val="auto"/>
                      <w:szCs w:val="21"/>
                    </w:rPr>
                    <w:t>排放口名</w:t>
                  </w:r>
                </w:p>
              </w:tc>
              <w:tc>
                <w:tcPr>
                  <w:tcW w:w="2909" w:type="dxa"/>
                  <w:tcBorders>
                    <w:tl2br w:val="nil"/>
                    <w:tr2bl w:val="nil"/>
                  </w:tcBorders>
                  <w:vAlign w:val="center"/>
                </w:tcPr>
                <w:p>
                  <w:pPr>
                    <w:adjustRightInd w:val="0"/>
                    <w:snapToGrid w:val="0"/>
                    <w:jc w:val="center"/>
                    <w:rPr>
                      <w:rFonts w:ascii="Times New Roman" w:hAnsi="Times New Roman" w:cs="Times New Roman"/>
                      <w:b/>
                      <w:bCs/>
                      <w:color w:val="auto"/>
                      <w:szCs w:val="21"/>
                    </w:rPr>
                  </w:pPr>
                  <w:r>
                    <w:rPr>
                      <w:rFonts w:hint="eastAsia" w:ascii="Times New Roman" w:hAnsi="Times New Roman" w:cs="Times New Roman"/>
                      <w:b/>
                      <w:bCs/>
                      <w:color w:val="auto"/>
                      <w:szCs w:val="21"/>
                    </w:rPr>
                    <w:t>执行标准</w:t>
                  </w:r>
                </w:p>
              </w:tc>
              <w:tc>
                <w:tcPr>
                  <w:tcW w:w="1386" w:type="dxa"/>
                  <w:tcBorders>
                    <w:tl2br w:val="nil"/>
                    <w:tr2bl w:val="nil"/>
                  </w:tcBorders>
                  <w:vAlign w:val="center"/>
                </w:tcPr>
                <w:p>
                  <w:pPr>
                    <w:adjustRightInd w:val="0"/>
                    <w:snapToGrid w:val="0"/>
                    <w:jc w:val="center"/>
                    <w:rPr>
                      <w:rFonts w:ascii="Times New Roman" w:hAnsi="Times New Roman" w:cs="Times New Roman"/>
                      <w:b/>
                      <w:bCs/>
                      <w:color w:val="auto"/>
                      <w:szCs w:val="21"/>
                    </w:rPr>
                  </w:pPr>
                  <w:r>
                    <w:rPr>
                      <w:rFonts w:hint="eastAsia" w:ascii="Times New Roman" w:hAnsi="Times New Roman" w:cs="Times New Roman"/>
                      <w:b/>
                      <w:bCs/>
                      <w:color w:val="auto"/>
                      <w:szCs w:val="21"/>
                    </w:rPr>
                    <w:t>取值表号及级别</w:t>
                  </w:r>
                </w:p>
              </w:tc>
              <w:tc>
                <w:tcPr>
                  <w:tcW w:w="1190" w:type="dxa"/>
                  <w:tcBorders>
                    <w:tl2br w:val="nil"/>
                    <w:tr2bl w:val="nil"/>
                  </w:tcBorders>
                  <w:vAlign w:val="center"/>
                </w:tcPr>
                <w:p>
                  <w:pPr>
                    <w:adjustRightInd w:val="0"/>
                    <w:snapToGrid w:val="0"/>
                    <w:jc w:val="center"/>
                    <w:rPr>
                      <w:rFonts w:ascii="Times New Roman" w:hAnsi="Times New Roman" w:cs="Times New Roman"/>
                      <w:b/>
                      <w:bCs/>
                      <w:color w:val="auto"/>
                      <w:szCs w:val="21"/>
                    </w:rPr>
                  </w:pPr>
                  <w:r>
                    <w:rPr>
                      <w:rFonts w:hint="eastAsia" w:ascii="Times New Roman" w:hAnsi="Times New Roman" w:cs="Times New Roman"/>
                      <w:b/>
                      <w:bCs/>
                      <w:color w:val="auto"/>
                      <w:szCs w:val="21"/>
                    </w:rPr>
                    <w:t>污染物指标</w:t>
                  </w:r>
                </w:p>
              </w:tc>
              <w:tc>
                <w:tcPr>
                  <w:tcW w:w="673" w:type="dxa"/>
                  <w:tcBorders>
                    <w:tl2br w:val="nil"/>
                    <w:tr2bl w:val="nil"/>
                  </w:tcBorders>
                  <w:vAlign w:val="center"/>
                </w:tcPr>
                <w:p>
                  <w:pPr>
                    <w:adjustRightInd w:val="0"/>
                    <w:snapToGrid w:val="0"/>
                    <w:jc w:val="center"/>
                    <w:rPr>
                      <w:rFonts w:ascii="Times New Roman" w:hAnsi="Times New Roman" w:cs="Times New Roman"/>
                      <w:b/>
                      <w:bCs/>
                      <w:color w:val="auto"/>
                      <w:szCs w:val="21"/>
                    </w:rPr>
                  </w:pPr>
                  <w:r>
                    <w:rPr>
                      <w:rFonts w:hint="eastAsia" w:ascii="Times New Roman" w:hAnsi="Times New Roman" w:cs="Times New Roman"/>
                      <w:b/>
                      <w:bCs/>
                      <w:color w:val="auto"/>
                      <w:szCs w:val="21"/>
                    </w:rPr>
                    <w:t>单位</w:t>
                  </w:r>
                </w:p>
              </w:tc>
              <w:tc>
                <w:tcPr>
                  <w:tcW w:w="1001" w:type="dxa"/>
                  <w:tcBorders>
                    <w:tl2br w:val="nil"/>
                    <w:tr2bl w:val="nil"/>
                  </w:tcBorders>
                  <w:vAlign w:val="center"/>
                </w:tcPr>
                <w:p>
                  <w:pPr>
                    <w:adjustRightInd w:val="0"/>
                    <w:snapToGrid w:val="0"/>
                    <w:jc w:val="center"/>
                    <w:rPr>
                      <w:rFonts w:ascii="Times New Roman" w:hAnsi="Times New Roman" w:cs="Times New Roman"/>
                      <w:b/>
                      <w:bCs/>
                      <w:color w:val="auto"/>
                      <w:szCs w:val="21"/>
                    </w:rPr>
                  </w:pPr>
                  <w:r>
                    <w:rPr>
                      <w:rFonts w:hint="eastAsia" w:ascii="Times New Roman" w:hAnsi="Times New Roman" w:cs="Times New Roman"/>
                      <w:b/>
                      <w:bCs/>
                      <w:color w:val="auto"/>
                      <w:szCs w:val="21"/>
                    </w:rPr>
                    <w:t>标准限值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35" w:type="dxa"/>
                  <w:vMerge w:val="restart"/>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lang w:eastAsia="zh-CN"/>
                    </w:rPr>
                    <w:t>接管标准</w:t>
                  </w:r>
                </w:p>
              </w:tc>
              <w:tc>
                <w:tcPr>
                  <w:tcW w:w="2909" w:type="dxa"/>
                  <w:vMerge w:val="restart"/>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《污水综合排放标准》（GB8978-1996）</w:t>
                  </w:r>
                </w:p>
              </w:tc>
              <w:tc>
                <w:tcPr>
                  <w:tcW w:w="1386" w:type="dxa"/>
                  <w:vMerge w:val="restart"/>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表4三级标准</w:t>
                  </w:r>
                </w:p>
              </w:tc>
              <w:tc>
                <w:tcPr>
                  <w:tcW w:w="1190"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pH</w:t>
                  </w:r>
                </w:p>
              </w:tc>
              <w:tc>
                <w:tcPr>
                  <w:tcW w:w="673"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w:t>
                  </w:r>
                </w:p>
              </w:tc>
              <w:tc>
                <w:tcPr>
                  <w:tcW w:w="1001"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35" w:type="dxa"/>
                  <w:vMerge w:val="continue"/>
                  <w:tcBorders>
                    <w:tl2br w:val="nil"/>
                    <w:tr2bl w:val="nil"/>
                  </w:tcBorders>
                  <w:vAlign w:val="center"/>
                </w:tcPr>
                <w:p>
                  <w:pPr>
                    <w:adjustRightInd w:val="0"/>
                    <w:snapToGrid w:val="0"/>
                    <w:jc w:val="center"/>
                    <w:rPr>
                      <w:rFonts w:ascii="Times New Roman" w:hAnsi="Times New Roman" w:cs="Times New Roman"/>
                      <w:color w:val="auto"/>
                      <w:szCs w:val="21"/>
                    </w:rPr>
                  </w:pPr>
                </w:p>
              </w:tc>
              <w:tc>
                <w:tcPr>
                  <w:tcW w:w="2909" w:type="dxa"/>
                  <w:vMerge w:val="continue"/>
                  <w:tcBorders>
                    <w:tl2br w:val="nil"/>
                    <w:tr2bl w:val="nil"/>
                  </w:tcBorders>
                  <w:vAlign w:val="center"/>
                </w:tcPr>
                <w:p>
                  <w:pPr>
                    <w:adjustRightInd w:val="0"/>
                    <w:snapToGrid w:val="0"/>
                    <w:jc w:val="center"/>
                    <w:rPr>
                      <w:rFonts w:ascii="Times New Roman" w:hAnsi="Times New Roman" w:cs="Times New Roman"/>
                      <w:color w:val="auto"/>
                      <w:szCs w:val="21"/>
                    </w:rPr>
                  </w:pPr>
                </w:p>
              </w:tc>
              <w:tc>
                <w:tcPr>
                  <w:tcW w:w="1386" w:type="dxa"/>
                  <w:vMerge w:val="continue"/>
                  <w:tcBorders>
                    <w:tl2br w:val="nil"/>
                    <w:tr2bl w:val="nil"/>
                  </w:tcBorders>
                  <w:vAlign w:val="center"/>
                </w:tcPr>
                <w:p>
                  <w:pPr>
                    <w:adjustRightInd w:val="0"/>
                    <w:snapToGrid w:val="0"/>
                    <w:jc w:val="center"/>
                    <w:rPr>
                      <w:rFonts w:ascii="Times New Roman" w:hAnsi="Times New Roman" w:cs="Times New Roman"/>
                      <w:color w:val="auto"/>
                      <w:szCs w:val="21"/>
                    </w:rPr>
                  </w:pPr>
                </w:p>
              </w:tc>
              <w:tc>
                <w:tcPr>
                  <w:tcW w:w="1190"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COD</w:t>
                  </w:r>
                </w:p>
              </w:tc>
              <w:tc>
                <w:tcPr>
                  <w:tcW w:w="673" w:type="dxa"/>
                  <w:vMerge w:val="restart"/>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mg/L</w:t>
                  </w:r>
                </w:p>
              </w:tc>
              <w:tc>
                <w:tcPr>
                  <w:tcW w:w="1001"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35" w:type="dxa"/>
                  <w:vMerge w:val="continue"/>
                  <w:tcBorders>
                    <w:tl2br w:val="nil"/>
                    <w:tr2bl w:val="nil"/>
                  </w:tcBorders>
                  <w:vAlign w:val="center"/>
                </w:tcPr>
                <w:p>
                  <w:pPr>
                    <w:adjustRightInd w:val="0"/>
                    <w:snapToGrid w:val="0"/>
                    <w:jc w:val="center"/>
                    <w:rPr>
                      <w:rFonts w:ascii="Times New Roman" w:hAnsi="Times New Roman" w:cs="Times New Roman"/>
                      <w:color w:val="auto"/>
                      <w:szCs w:val="21"/>
                    </w:rPr>
                  </w:pPr>
                </w:p>
              </w:tc>
              <w:tc>
                <w:tcPr>
                  <w:tcW w:w="2909" w:type="dxa"/>
                  <w:vMerge w:val="continue"/>
                  <w:tcBorders>
                    <w:tl2br w:val="nil"/>
                    <w:tr2bl w:val="nil"/>
                  </w:tcBorders>
                  <w:vAlign w:val="center"/>
                </w:tcPr>
                <w:p>
                  <w:pPr>
                    <w:adjustRightInd w:val="0"/>
                    <w:snapToGrid w:val="0"/>
                    <w:jc w:val="center"/>
                    <w:rPr>
                      <w:rFonts w:ascii="Times New Roman" w:hAnsi="Times New Roman" w:cs="Times New Roman"/>
                      <w:color w:val="auto"/>
                      <w:szCs w:val="21"/>
                    </w:rPr>
                  </w:pPr>
                </w:p>
              </w:tc>
              <w:tc>
                <w:tcPr>
                  <w:tcW w:w="1386" w:type="dxa"/>
                  <w:vMerge w:val="continue"/>
                  <w:tcBorders>
                    <w:tl2br w:val="nil"/>
                    <w:tr2bl w:val="nil"/>
                  </w:tcBorders>
                  <w:vAlign w:val="center"/>
                </w:tcPr>
                <w:p>
                  <w:pPr>
                    <w:adjustRightInd w:val="0"/>
                    <w:snapToGrid w:val="0"/>
                    <w:jc w:val="center"/>
                    <w:rPr>
                      <w:rFonts w:ascii="Times New Roman" w:hAnsi="Times New Roman" w:cs="Times New Roman"/>
                      <w:color w:val="auto"/>
                      <w:szCs w:val="21"/>
                    </w:rPr>
                  </w:pPr>
                </w:p>
              </w:tc>
              <w:tc>
                <w:tcPr>
                  <w:tcW w:w="1190"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SS</w:t>
                  </w:r>
                </w:p>
              </w:tc>
              <w:tc>
                <w:tcPr>
                  <w:tcW w:w="673" w:type="dxa"/>
                  <w:vMerge w:val="continue"/>
                  <w:tcBorders>
                    <w:tl2br w:val="nil"/>
                    <w:tr2bl w:val="nil"/>
                  </w:tcBorders>
                  <w:vAlign w:val="center"/>
                </w:tcPr>
                <w:p>
                  <w:pPr>
                    <w:adjustRightInd w:val="0"/>
                    <w:snapToGrid w:val="0"/>
                    <w:jc w:val="center"/>
                    <w:rPr>
                      <w:rFonts w:ascii="Times New Roman" w:hAnsi="Times New Roman" w:cs="Times New Roman"/>
                      <w:color w:val="auto"/>
                      <w:szCs w:val="21"/>
                    </w:rPr>
                  </w:pPr>
                </w:p>
              </w:tc>
              <w:tc>
                <w:tcPr>
                  <w:tcW w:w="1001"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35" w:type="dxa"/>
                  <w:vMerge w:val="continue"/>
                  <w:tcBorders>
                    <w:tl2br w:val="nil"/>
                    <w:tr2bl w:val="nil"/>
                  </w:tcBorders>
                  <w:vAlign w:val="center"/>
                </w:tcPr>
                <w:p>
                  <w:pPr>
                    <w:adjustRightInd w:val="0"/>
                    <w:snapToGrid w:val="0"/>
                    <w:jc w:val="center"/>
                    <w:rPr>
                      <w:rFonts w:ascii="Times New Roman" w:hAnsi="Times New Roman" w:cs="Times New Roman"/>
                      <w:color w:val="auto"/>
                      <w:szCs w:val="21"/>
                    </w:rPr>
                  </w:pPr>
                </w:p>
              </w:tc>
              <w:tc>
                <w:tcPr>
                  <w:tcW w:w="2909" w:type="dxa"/>
                  <w:vMerge w:val="restart"/>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《污水排入城镇下水道水质标准》（GB/T31962-2015）</w:t>
                  </w:r>
                </w:p>
              </w:tc>
              <w:tc>
                <w:tcPr>
                  <w:tcW w:w="1386" w:type="dxa"/>
                  <w:vMerge w:val="restart"/>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表1B等级标准</w:t>
                  </w:r>
                </w:p>
              </w:tc>
              <w:tc>
                <w:tcPr>
                  <w:tcW w:w="1190"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NH</w:t>
                  </w:r>
                  <w:r>
                    <w:rPr>
                      <w:rFonts w:hint="eastAsia" w:ascii="Times New Roman" w:hAnsi="Times New Roman" w:cs="Times New Roman"/>
                      <w:color w:val="auto"/>
                      <w:szCs w:val="21"/>
                      <w:vertAlign w:val="subscript"/>
                    </w:rPr>
                    <w:t>3</w:t>
                  </w:r>
                  <w:r>
                    <w:rPr>
                      <w:rFonts w:hint="eastAsia" w:ascii="Times New Roman" w:hAnsi="Times New Roman" w:cs="Times New Roman"/>
                      <w:color w:val="auto"/>
                      <w:szCs w:val="21"/>
                    </w:rPr>
                    <w:t>-N</w:t>
                  </w:r>
                </w:p>
              </w:tc>
              <w:tc>
                <w:tcPr>
                  <w:tcW w:w="673" w:type="dxa"/>
                  <w:vMerge w:val="continue"/>
                  <w:tcBorders>
                    <w:tl2br w:val="nil"/>
                    <w:tr2bl w:val="nil"/>
                  </w:tcBorders>
                  <w:vAlign w:val="center"/>
                </w:tcPr>
                <w:p>
                  <w:pPr>
                    <w:adjustRightInd w:val="0"/>
                    <w:snapToGrid w:val="0"/>
                    <w:jc w:val="center"/>
                    <w:rPr>
                      <w:rFonts w:ascii="Times New Roman" w:hAnsi="Times New Roman" w:cs="Times New Roman"/>
                      <w:color w:val="auto"/>
                      <w:szCs w:val="21"/>
                    </w:rPr>
                  </w:pPr>
                </w:p>
              </w:tc>
              <w:tc>
                <w:tcPr>
                  <w:tcW w:w="1001"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35" w:type="dxa"/>
                  <w:vMerge w:val="continue"/>
                  <w:tcBorders>
                    <w:tl2br w:val="nil"/>
                    <w:tr2bl w:val="nil"/>
                  </w:tcBorders>
                  <w:vAlign w:val="center"/>
                </w:tcPr>
                <w:p>
                  <w:pPr>
                    <w:adjustRightInd w:val="0"/>
                    <w:snapToGrid w:val="0"/>
                    <w:jc w:val="center"/>
                    <w:rPr>
                      <w:rFonts w:ascii="Times New Roman" w:hAnsi="Times New Roman" w:cs="Times New Roman"/>
                      <w:color w:val="auto"/>
                      <w:szCs w:val="21"/>
                    </w:rPr>
                  </w:pPr>
                </w:p>
              </w:tc>
              <w:tc>
                <w:tcPr>
                  <w:tcW w:w="2909" w:type="dxa"/>
                  <w:vMerge w:val="continue"/>
                  <w:tcBorders>
                    <w:tl2br w:val="nil"/>
                    <w:tr2bl w:val="nil"/>
                  </w:tcBorders>
                  <w:vAlign w:val="center"/>
                </w:tcPr>
                <w:p>
                  <w:pPr>
                    <w:adjustRightInd w:val="0"/>
                    <w:snapToGrid w:val="0"/>
                    <w:jc w:val="center"/>
                    <w:rPr>
                      <w:rFonts w:ascii="Times New Roman" w:hAnsi="Times New Roman" w:cs="Times New Roman"/>
                      <w:color w:val="auto"/>
                      <w:szCs w:val="21"/>
                    </w:rPr>
                  </w:pPr>
                </w:p>
              </w:tc>
              <w:tc>
                <w:tcPr>
                  <w:tcW w:w="1386" w:type="dxa"/>
                  <w:vMerge w:val="continue"/>
                  <w:tcBorders>
                    <w:tl2br w:val="nil"/>
                    <w:tr2bl w:val="nil"/>
                  </w:tcBorders>
                  <w:vAlign w:val="center"/>
                </w:tcPr>
                <w:p>
                  <w:pPr>
                    <w:adjustRightInd w:val="0"/>
                    <w:snapToGrid w:val="0"/>
                    <w:jc w:val="center"/>
                    <w:rPr>
                      <w:rFonts w:ascii="Times New Roman" w:hAnsi="Times New Roman" w:cs="Times New Roman"/>
                      <w:color w:val="auto"/>
                      <w:szCs w:val="21"/>
                    </w:rPr>
                  </w:pPr>
                </w:p>
              </w:tc>
              <w:tc>
                <w:tcPr>
                  <w:tcW w:w="1190"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TP</w:t>
                  </w:r>
                </w:p>
              </w:tc>
              <w:tc>
                <w:tcPr>
                  <w:tcW w:w="673" w:type="dxa"/>
                  <w:vMerge w:val="continue"/>
                  <w:tcBorders>
                    <w:tl2br w:val="nil"/>
                    <w:tr2bl w:val="nil"/>
                  </w:tcBorders>
                  <w:vAlign w:val="center"/>
                </w:tcPr>
                <w:p>
                  <w:pPr>
                    <w:adjustRightInd w:val="0"/>
                    <w:snapToGrid w:val="0"/>
                    <w:jc w:val="center"/>
                    <w:rPr>
                      <w:rFonts w:ascii="Times New Roman" w:hAnsi="Times New Roman" w:cs="Times New Roman"/>
                      <w:color w:val="auto"/>
                      <w:szCs w:val="21"/>
                    </w:rPr>
                  </w:pPr>
                </w:p>
              </w:tc>
              <w:tc>
                <w:tcPr>
                  <w:tcW w:w="1001"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35" w:type="dxa"/>
                  <w:vMerge w:val="restart"/>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污水厂排口</w:t>
                  </w:r>
                </w:p>
              </w:tc>
              <w:tc>
                <w:tcPr>
                  <w:tcW w:w="2909" w:type="dxa"/>
                  <w:vMerge w:val="restart"/>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太湖地区城镇污水处理厂及重点工业行业水污染物排放限值（DB32/1072-2007）</w:t>
                  </w:r>
                </w:p>
              </w:tc>
              <w:tc>
                <w:tcPr>
                  <w:tcW w:w="1386" w:type="dxa"/>
                  <w:vMerge w:val="restart"/>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表2城镇污水处理厂II</w:t>
                  </w:r>
                </w:p>
              </w:tc>
              <w:tc>
                <w:tcPr>
                  <w:tcW w:w="1190"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COD</w:t>
                  </w:r>
                </w:p>
              </w:tc>
              <w:tc>
                <w:tcPr>
                  <w:tcW w:w="673" w:type="dxa"/>
                  <w:vMerge w:val="restart"/>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mg/L</w:t>
                  </w:r>
                </w:p>
              </w:tc>
              <w:tc>
                <w:tcPr>
                  <w:tcW w:w="1001"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35" w:type="dxa"/>
                  <w:vMerge w:val="continue"/>
                  <w:tcBorders>
                    <w:tl2br w:val="nil"/>
                    <w:tr2bl w:val="nil"/>
                  </w:tcBorders>
                  <w:vAlign w:val="center"/>
                </w:tcPr>
                <w:p>
                  <w:pPr>
                    <w:adjustRightInd w:val="0"/>
                    <w:snapToGrid w:val="0"/>
                    <w:jc w:val="center"/>
                    <w:rPr>
                      <w:rFonts w:ascii="Times New Roman" w:hAnsi="Times New Roman" w:cs="Times New Roman"/>
                      <w:color w:val="auto"/>
                      <w:szCs w:val="21"/>
                    </w:rPr>
                  </w:pPr>
                </w:p>
              </w:tc>
              <w:tc>
                <w:tcPr>
                  <w:tcW w:w="2909" w:type="dxa"/>
                  <w:vMerge w:val="continue"/>
                  <w:tcBorders>
                    <w:tl2br w:val="nil"/>
                    <w:tr2bl w:val="nil"/>
                  </w:tcBorders>
                  <w:vAlign w:val="center"/>
                </w:tcPr>
                <w:p>
                  <w:pPr>
                    <w:adjustRightInd w:val="0"/>
                    <w:snapToGrid w:val="0"/>
                    <w:jc w:val="center"/>
                    <w:rPr>
                      <w:rFonts w:ascii="Times New Roman" w:hAnsi="Times New Roman" w:cs="Times New Roman"/>
                      <w:color w:val="auto"/>
                      <w:szCs w:val="21"/>
                    </w:rPr>
                  </w:pPr>
                </w:p>
              </w:tc>
              <w:tc>
                <w:tcPr>
                  <w:tcW w:w="1386" w:type="dxa"/>
                  <w:vMerge w:val="continue"/>
                  <w:tcBorders>
                    <w:tl2br w:val="nil"/>
                    <w:tr2bl w:val="nil"/>
                  </w:tcBorders>
                  <w:vAlign w:val="center"/>
                </w:tcPr>
                <w:p>
                  <w:pPr>
                    <w:adjustRightInd w:val="0"/>
                    <w:snapToGrid w:val="0"/>
                    <w:jc w:val="center"/>
                    <w:rPr>
                      <w:rFonts w:ascii="Times New Roman" w:hAnsi="Times New Roman" w:cs="Times New Roman"/>
                      <w:color w:val="auto"/>
                      <w:szCs w:val="21"/>
                    </w:rPr>
                  </w:pPr>
                </w:p>
              </w:tc>
              <w:tc>
                <w:tcPr>
                  <w:tcW w:w="1190"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NH</w:t>
                  </w:r>
                  <w:r>
                    <w:rPr>
                      <w:rFonts w:hint="eastAsia" w:ascii="Times New Roman" w:hAnsi="Times New Roman" w:cs="Times New Roman"/>
                      <w:color w:val="auto"/>
                      <w:szCs w:val="21"/>
                      <w:vertAlign w:val="subscript"/>
                    </w:rPr>
                    <w:t>3</w:t>
                  </w:r>
                  <w:r>
                    <w:rPr>
                      <w:rFonts w:hint="eastAsia" w:ascii="Times New Roman" w:hAnsi="Times New Roman" w:cs="Times New Roman"/>
                      <w:color w:val="auto"/>
                      <w:szCs w:val="21"/>
                    </w:rPr>
                    <w:t>-N</w:t>
                  </w:r>
                </w:p>
              </w:tc>
              <w:tc>
                <w:tcPr>
                  <w:tcW w:w="673" w:type="dxa"/>
                  <w:vMerge w:val="continue"/>
                  <w:tcBorders>
                    <w:tl2br w:val="nil"/>
                    <w:tr2bl w:val="nil"/>
                  </w:tcBorders>
                  <w:vAlign w:val="center"/>
                </w:tcPr>
                <w:p>
                  <w:pPr>
                    <w:adjustRightInd w:val="0"/>
                    <w:snapToGrid w:val="0"/>
                    <w:jc w:val="center"/>
                    <w:rPr>
                      <w:rFonts w:ascii="Times New Roman" w:hAnsi="Times New Roman" w:cs="Times New Roman"/>
                      <w:color w:val="auto"/>
                      <w:szCs w:val="21"/>
                    </w:rPr>
                  </w:pPr>
                </w:p>
              </w:tc>
              <w:tc>
                <w:tcPr>
                  <w:tcW w:w="1001"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5（8）*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35" w:type="dxa"/>
                  <w:vMerge w:val="continue"/>
                  <w:tcBorders>
                    <w:tl2br w:val="nil"/>
                    <w:tr2bl w:val="nil"/>
                  </w:tcBorders>
                  <w:vAlign w:val="center"/>
                </w:tcPr>
                <w:p>
                  <w:pPr>
                    <w:adjustRightInd w:val="0"/>
                    <w:snapToGrid w:val="0"/>
                    <w:jc w:val="center"/>
                    <w:rPr>
                      <w:rFonts w:ascii="Times New Roman" w:hAnsi="Times New Roman" w:cs="Times New Roman"/>
                      <w:color w:val="auto"/>
                      <w:szCs w:val="21"/>
                    </w:rPr>
                  </w:pPr>
                </w:p>
              </w:tc>
              <w:tc>
                <w:tcPr>
                  <w:tcW w:w="2909" w:type="dxa"/>
                  <w:vMerge w:val="continue"/>
                  <w:tcBorders>
                    <w:tl2br w:val="nil"/>
                    <w:tr2bl w:val="nil"/>
                  </w:tcBorders>
                  <w:vAlign w:val="center"/>
                </w:tcPr>
                <w:p>
                  <w:pPr>
                    <w:adjustRightInd w:val="0"/>
                    <w:snapToGrid w:val="0"/>
                    <w:jc w:val="center"/>
                    <w:rPr>
                      <w:rFonts w:ascii="Times New Roman" w:hAnsi="Times New Roman" w:cs="Times New Roman"/>
                      <w:color w:val="auto"/>
                      <w:szCs w:val="21"/>
                    </w:rPr>
                  </w:pPr>
                </w:p>
              </w:tc>
              <w:tc>
                <w:tcPr>
                  <w:tcW w:w="1386" w:type="dxa"/>
                  <w:vMerge w:val="continue"/>
                  <w:tcBorders>
                    <w:tl2br w:val="nil"/>
                    <w:tr2bl w:val="nil"/>
                  </w:tcBorders>
                  <w:vAlign w:val="center"/>
                </w:tcPr>
                <w:p>
                  <w:pPr>
                    <w:adjustRightInd w:val="0"/>
                    <w:snapToGrid w:val="0"/>
                    <w:jc w:val="center"/>
                    <w:rPr>
                      <w:rFonts w:ascii="Times New Roman" w:hAnsi="Times New Roman" w:cs="Times New Roman"/>
                      <w:color w:val="auto"/>
                      <w:szCs w:val="21"/>
                    </w:rPr>
                  </w:pPr>
                </w:p>
              </w:tc>
              <w:tc>
                <w:tcPr>
                  <w:tcW w:w="1190"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TP</w:t>
                  </w:r>
                </w:p>
              </w:tc>
              <w:tc>
                <w:tcPr>
                  <w:tcW w:w="673" w:type="dxa"/>
                  <w:vMerge w:val="continue"/>
                  <w:tcBorders>
                    <w:tl2br w:val="nil"/>
                    <w:tr2bl w:val="nil"/>
                  </w:tcBorders>
                  <w:vAlign w:val="center"/>
                </w:tcPr>
                <w:p>
                  <w:pPr>
                    <w:adjustRightInd w:val="0"/>
                    <w:snapToGrid w:val="0"/>
                    <w:jc w:val="center"/>
                    <w:rPr>
                      <w:rFonts w:ascii="Times New Roman" w:hAnsi="Times New Roman" w:cs="Times New Roman"/>
                      <w:color w:val="auto"/>
                      <w:szCs w:val="21"/>
                    </w:rPr>
                  </w:pPr>
                </w:p>
              </w:tc>
              <w:tc>
                <w:tcPr>
                  <w:tcW w:w="1001"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35" w:type="dxa"/>
                  <w:vMerge w:val="continue"/>
                  <w:tcBorders>
                    <w:tl2br w:val="nil"/>
                    <w:tr2bl w:val="nil"/>
                  </w:tcBorders>
                  <w:vAlign w:val="center"/>
                </w:tcPr>
                <w:p>
                  <w:pPr>
                    <w:adjustRightInd w:val="0"/>
                    <w:snapToGrid w:val="0"/>
                    <w:jc w:val="center"/>
                    <w:rPr>
                      <w:rFonts w:ascii="Times New Roman" w:hAnsi="Times New Roman" w:cs="Times New Roman"/>
                      <w:color w:val="auto"/>
                      <w:szCs w:val="21"/>
                    </w:rPr>
                  </w:pPr>
                </w:p>
              </w:tc>
              <w:tc>
                <w:tcPr>
                  <w:tcW w:w="2909" w:type="dxa"/>
                  <w:vMerge w:val="restart"/>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《城镇污水处理厂污染物排放标准》（GB18918-2002）</w:t>
                  </w:r>
                </w:p>
              </w:tc>
              <w:tc>
                <w:tcPr>
                  <w:tcW w:w="1386" w:type="dxa"/>
                  <w:vMerge w:val="restart"/>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表1一级A标准</w:t>
                  </w:r>
                </w:p>
              </w:tc>
              <w:tc>
                <w:tcPr>
                  <w:tcW w:w="1190"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pH</w:t>
                  </w:r>
                </w:p>
              </w:tc>
              <w:tc>
                <w:tcPr>
                  <w:tcW w:w="673"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w:t>
                  </w:r>
                </w:p>
              </w:tc>
              <w:tc>
                <w:tcPr>
                  <w:tcW w:w="1001"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35" w:type="dxa"/>
                  <w:vMerge w:val="continue"/>
                  <w:tcBorders>
                    <w:tl2br w:val="nil"/>
                    <w:tr2bl w:val="nil"/>
                  </w:tcBorders>
                  <w:vAlign w:val="center"/>
                </w:tcPr>
                <w:p>
                  <w:pPr>
                    <w:adjustRightInd w:val="0"/>
                    <w:snapToGrid w:val="0"/>
                    <w:jc w:val="center"/>
                    <w:rPr>
                      <w:rFonts w:ascii="Times New Roman" w:hAnsi="Times New Roman" w:cs="Times New Roman"/>
                      <w:color w:val="auto"/>
                      <w:szCs w:val="21"/>
                    </w:rPr>
                  </w:pPr>
                </w:p>
              </w:tc>
              <w:tc>
                <w:tcPr>
                  <w:tcW w:w="2909" w:type="dxa"/>
                  <w:vMerge w:val="continue"/>
                  <w:tcBorders>
                    <w:tl2br w:val="nil"/>
                    <w:tr2bl w:val="nil"/>
                  </w:tcBorders>
                  <w:vAlign w:val="center"/>
                </w:tcPr>
                <w:p>
                  <w:pPr>
                    <w:adjustRightInd w:val="0"/>
                    <w:snapToGrid w:val="0"/>
                    <w:jc w:val="center"/>
                    <w:rPr>
                      <w:rFonts w:ascii="Times New Roman" w:hAnsi="Times New Roman" w:cs="Times New Roman"/>
                      <w:color w:val="auto"/>
                      <w:szCs w:val="21"/>
                    </w:rPr>
                  </w:pPr>
                </w:p>
              </w:tc>
              <w:tc>
                <w:tcPr>
                  <w:tcW w:w="1386" w:type="dxa"/>
                  <w:vMerge w:val="continue"/>
                  <w:tcBorders>
                    <w:tl2br w:val="nil"/>
                    <w:tr2bl w:val="nil"/>
                  </w:tcBorders>
                  <w:vAlign w:val="center"/>
                </w:tcPr>
                <w:p>
                  <w:pPr>
                    <w:adjustRightInd w:val="0"/>
                    <w:snapToGrid w:val="0"/>
                    <w:jc w:val="center"/>
                    <w:rPr>
                      <w:rFonts w:ascii="Times New Roman" w:hAnsi="Times New Roman" w:cs="Times New Roman"/>
                      <w:color w:val="auto"/>
                      <w:szCs w:val="21"/>
                    </w:rPr>
                  </w:pPr>
                </w:p>
              </w:tc>
              <w:tc>
                <w:tcPr>
                  <w:tcW w:w="1190"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SS</w:t>
                  </w:r>
                </w:p>
              </w:tc>
              <w:tc>
                <w:tcPr>
                  <w:tcW w:w="673"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mg/L</w:t>
                  </w:r>
                </w:p>
              </w:tc>
              <w:tc>
                <w:tcPr>
                  <w:tcW w:w="1001"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10</w:t>
                  </w:r>
                </w:p>
              </w:tc>
            </w:tr>
          </w:tbl>
          <w:p>
            <w:pPr>
              <w:adjustRightInd w:val="0"/>
              <w:snapToGrid w:val="0"/>
              <w:spacing w:line="360" w:lineRule="auto"/>
              <w:rPr>
                <w:rFonts w:ascii="Times New Roman" w:hAnsi="Times New Roman" w:cs="Times New Roman"/>
                <w:color w:val="auto"/>
                <w:sz w:val="24"/>
              </w:rPr>
            </w:pPr>
            <w:r>
              <w:rPr>
                <w:rFonts w:hint="eastAsia" w:ascii="宋体" w:hAnsi="宋体" w:eastAsia="宋体"/>
                <w:b/>
                <w:bCs/>
                <w:color w:val="auto"/>
              </w:rPr>
              <w:t>注：</w:t>
            </w:r>
            <w:r>
              <w:rPr>
                <w:rFonts w:ascii="ËÎÌå" w:hAnsi="ËÎÌå" w:eastAsia="ËÎÌå"/>
                <w:b/>
                <w:bCs/>
                <w:color w:val="auto"/>
              </w:rPr>
              <w:t>*</w:t>
            </w:r>
            <w:r>
              <w:rPr>
                <w:rFonts w:hint="eastAsia" w:ascii="宋体" w:hAnsi="宋体" w:eastAsia="宋体"/>
                <w:b/>
                <w:bCs/>
                <w:color w:val="auto"/>
              </w:rPr>
              <w:t>括号外数值为水温＞</w:t>
            </w:r>
            <w:r>
              <w:rPr>
                <w:rFonts w:ascii="ËÎÌå" w:hAnsi="ËÎÌå" w:eastAsia="ËÎÌå"/>
                <w:b/>
                <w:bCs/>
                <w:color w:val="auto"/>
              </w:rPr>
              <w:t>12</w:t>
            </w:r>
            <w:r>
              <w:rPr>
                <w:rFonts w:hint="eastAsia" w:ascii="宋体" w:hAnsi="宋体" w:eastAsia="宋体"/>
                <w:b/>
                <w:bCs/>
                <w:color w:val="auto"/>
              </w:rPr>
              <w:t>℃时的控制指标，括号内水温≤</w:t>
            </w:r>
            <w:r>
              <w:rPr>
                <w:rFonts w:ascii="ËÎÌå" w:hAnsi="ËÎÌå" w:eastAsia="ËÎÌå"/>
                <w:b/>
                <w:bCs/>
                <w:color w:val="auto"/>
              </w:rPr>
              <w:t>12</w:t>
            </w:r>
            <w:r>
              <w:rPr>
                <w:rFonts w:hint="eastAsia" w:ascii="宋体" w:hAnsi="宋体" w:eastAsia="宋体"/>
                <w:b/>
                <w:bCs/>
                <w:color w:val="auto"/>
              </w:rPr>
              <w:t>℃时的控制指标。</w:t>
            </w:r>
          </w:p>
          <w:p>
            <w:pPr>
              <w:adjustRightInd w:val="0"/>
              <w:snapToGrid w:val="0"/>
              <w:spacing w:line="360" w:lineRule="auto"/>
              <w:ind w:firstLine="482" w:firstLineChars="200"/>
              <w:rPr>
                <w:rFonts w:ascii="Times New Roman" w:hAnsi="Times New Roman" w:cs="Times New Roman"/>
                <w:b/>
                <w:color w:val="auto"/>
                <w:sz w:val="24"/>
              </w:rPr>
            </w:pPr>
            <w:r>
              <w:rPr>
                <w:rFonts w:ascii="Times New Roman" w:hAnsi="Times New Roman" w:cs="Times New Roman"/>
                <w:b/>
                <w:color w:val="auto"/>
                <w:sz w:val="24"/>
              </w:rPr>
              <w:t>3、噪声</w:t>
            </w:r>
          </w:p>
          <w:p>
            <w:pPr>
              <w:pStyle w:val="7"/>
              <w:snapToGrid w:val="0"/>
              <w:spacing w:before="0" w:line="360" w:lineRule="auto"/>
              <w:ind w:firstLine="472" w:firstLineChars="200"/>
              <w:rPr>
                <w:rFonts w:ascii="Times New Roman" w:hAnsi="Times New Roman" w:cs="Times New Roman"/>
                <w:color w:val="auto"/>
                <w:sz w:val="24"/>
                <w:szCs w:val="24"/>
              </w:rPr>
            </w:pPr>
            <w:r>
              <w:rPr>
                <w:rFonts w:ascii="Times New Roman" w:hAnsi="Times New Roman" w:cs="Times New Roman"/>
                <w:color w:val="auto"/>
                <w:sz w:val="24"/>
                <w:szCs w:val="24"/>
              </w:rPr>
              <w:t>施工期噪声执行《建筑施工场界环境噪声排放标准》（GB12523-2011）的标准限值，具体噪声执行值见表4-</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w:t>
            </w:r>
          </w:p>
          <w:p>
            <w:pPr>
              <w:adjustRightInd w:val="0"/>
              <w:snapToGrid w:val="0"/>
              <w:jc w:val="center"/>
              <w:rPr>
                <w:rFonts w:ascii="Times New Roman" w:hAnsi="Times New Roman" w:cs="Times New Roman"/>
                <w:b/>
                <w:snapToGrid w:val="0"/>
                <w:color w:val="auto"/>
                <w:kern w:val="0"/>
                <w:sz w:val="24"/>
              </w:rPr>
            </w:pPr>
            <w:r>
              <w:rPr>
                <w:rFonts w:ascii="Times New Roman" w:hAnsi="Times New Roman" w:cs="Times New Roman"/>
                <w:b/>
                <w:snapToGrid w:val="0"/>
                <w:color w:val="auto"/>
                <w:kern w:val="0"/>
                <w:sz w:val="24"/>
              </w:rPr>
              <w:t>表4-6  建筑施工场界环境噪声排放标准  单位：dB(A)</w:t>
            </w:r>
          </w:p>
          <w:tbl>
            <w:tblPr>
              <w:tblStyle w:val="16"/>
              <w:tblW w:w="819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392"/>
              <w:gridCol w:w="2344"/>
              <w:gridCol w:w="245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2"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标准来源</w:t>
                  </w:r>
                </w:p>
              </w:tc>
              <w:tc>
                <w:tcPr>
                  <w:tcW w:w="2344"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昼间</w:t>
                  </w:r>
                </w:p>
              </w:tc>
              <w:tc>
                <w:tcPr>
                  <w:tcW w:w="2458" w:type="dxa"/>
                  <w:tcBorders>
                    <w:tl2br w:val="nil"/>
                    <w:tr2bl w:val="nil"/>
                  </w:tcBorders>
                  <w:vAlign w:val="center"/>
                </w:tcPr>
                <w:p>
                  <w:pPr>
                    <w:adjustRightInd w:val="0"/>
                    <w:snapToGrid w:val="0"/>
                    <w:jc w:val="center"/>
                    <w:rPr>
                      <w:rFonts w:ascii="Times New Roman" w:hAnsi="Times New Roman" w:cs="Times New Roman"/>
                      <w:b/>
                      <w:color w:val="auto"/>
                      <w:szCs w:val="21"/>
                    </w:rPr>
                  </w:pPr>
                  <w:r>
                    <w:rPr>
                      <w:rFonts w:ascii="Times New Roman" w:hAnsi="Times New Roman" w:cs="Times New Roman"/>
                      <w:b/>
                      <w:color w:val="auto"/>
                      <w:szCs w:val="21"/>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2"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《建筑施工场界环境噪声排放标准》（GB12523-2011）</w:t>
                  </w:r>
                </w:p>
              </w:tc>
              <w:tc>
                <w:tcPr>
                  <w:tcW w:w="2344"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75</w:t>
                  </w:r>
                </w:p>
              </w:tc>
              <w:tc>
                <w:tcPr>
                  <w:tcW w:w="2458"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55</w:t>
                  </w:r>
                </w:p>
              </w:tc>
            </w:tr>
          </w:tbl>
          <w:p>
            <w:pPr>
              <w:adjustRightInd w:val="0"/>
              <w:snapToGrid w:val="0"/>
              <w:spacing w:line="360" w:lineRule="auto"/>
              <w:ind w:firstLine="482"/>
              <w:rPr>
                <w:rFonts w:ascii="Times New Roman" w:hAnsi="Times New Roman" w:cs="Times New Roman"/>
                <w:b/>
                <w:color w:val="auto"/>
                <w:sz w:val="24"/>
              </w:rPr>
            </w:pPr>
            <w:r>
              <w:rPr>
                <w:rFonts w:ascii="Times New Roman" w:hAnsi="Times New Roman" w:cs="Times New Roman"/>
                <w:b/>
                <w:color w:val="auto"/>
                <w:sz w:val="24"/>
              </w:rPr>
              <w:t>4、固废</w:t>
            </w:r>
          </w:p>
          <w:p>
            <w:pPr>
              <w:tabs>
                <w:tab w:val="left" w:pos="2640"/>
              </w:tabs>
              <w:adjustRightInd w:val="0"/>
              <w:snapToGrid w:val="0"/>
              <w:spacing w:line="360" w:lineRule="auto"/>
              <w:ind w:firstLine="482"/>
              <w:rPr>
                <w:rFonts w:ascii="Times New Roman" w:hAnsi="Times New Roman" w:cs="Times New Roman"/>
                <w:color w:val="auto"/>
                <w:sz w:val="24"/>
              </w:rPr>
            </w:pPr>
            <w:r>
              <w:rPr>
                <w:rFonts w:ascii="Times New Roman" w:hAnsi="Times New Roman" w:cs="Times New Roman"/>
                <w:color w:val="auto"/>
                <w:sz w:val="24"/>
              </w:rPr>
              <w:t>一般工业固体废物的堆存及污染控制分别按《一般工业固体废物贮存、处置场污染控制标准》（GB18599-2001）、《一般工业固体废物贮存、处置场污染控制标准》（GB18599-2001）及其修改单（中华人民共和国环境保护部公告2013年第36号）进行堆存、控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589" w:hRule="atLeast"/>
          <w:jc w:val="center"/>
        </w:trPr>
        <w:tc>
          <w:tcPr>
            <w:tcW w:w="570" w:type="dxa"/>
            <w:tcBorders>
              <w:top w:val="single" w:color="auto" w:sz="4" w:space="0"/>
              <w:bottom w:val="single" w:color="auto" w:sz="4" w:space="0"/>
            </w:tcBorders>
            <w:vAlign w:val="center"/>
          </w:tcPr>
          <w:p>
            <w:pPr>
              <w:adjustRightInd w:val="0"/>
              <w:snapToGrid w:val="0"/>
              <w:spacing w:line="312" w:lineRule="auto"/>
              <w:jc w:val="center"/>
              <w:rPr>
                <w:b/>
                <w:bCs/>
                <w:color w:val="auto"/>
                <w:sz w:val="28"/>
                <w:szCs w:val="28"/>
              </w:rPr>
            </w:pPr>
            <w:r>
              <w:rPr>
                <w:rFonts w:hint="eastAsia"/>
                <w:b/>
                <w:bCs/>
                <w:color w:val="auto"/>
                <w:sz w:val="28"/>
                <w:szCs w:val="28"/>
              </w:rPr>
              <w:t>总量控制指标</w:t>
            </w:r>
          </w:p>
        </w:tc>
        <w:tc>
          <w:tcPr>
            <w:tcW w:w="8410" w:type="dxa"/>
            <w:tcBorders>
              <w:top w:val="single" w:color="auto" w:sz="4" w:space="0"/>
              <w:bottom w:val="single" w:color="auto" w:sz="4" w:space="0"/>
            </w:tcBorders>
            <w:vAlign w:val="center"/>
          </w:tcPr>
          <w:p>
            <w:pPr>
              <w:tabs>
                <w:tab w:val="left" w:pos="2640"/>
              </w:tabs>
              <w:adjustRightInd w:val="0"/>
              <w:snapToGrid w:val="0"/>
              <w:spacing w:line="360" w:lineRule="auto"/>
              <w:rPr>
                <w:rFonts w:ascii="Times New Roman" w:hAnsi="Times New Roman" w:cs="Times New Roman"/>
                <w:color w:val="auto"/>
                <w:sz w:val="24"/>
              </w:rPr>
            </w:pPr>
            <w:r>
              <w:rPr>
                <w:rFonts w:hint="eastAsia" w:ascii="Times New Roman" w:hAnsi="Times New Roman" w:cs="Times New Roman"/>
                <w:color w:val="auto"/>
                <w:sz w:val="24"/>
              </w:rPr>
              <w:t>总量控制指标值如下：</w:t>
            </w:r>
          </w:p>
          <w:p>
            <w:pPr>
              <w:tabs>
                <w:tab w:val="left" w:pos="2640"/>
              </w:tabs>
              <w:adjustRightInd w:val="0"/>
              <w:snapToGrid w:val="0"/>
              <w:spacing w:line="360" w:lineRule="auto"/>
              <w:ind w:firstLine="482"/>
              <w:jc w:val="left"/>
              <w:rPr>
                <w:rFonts w:ascii="Times New Roman" w:hAnsi="Times New Roman" w:cs="Times New Roman"/>
                <w:color w:val="auto"/>
                <w:sz w:val="24"/>
              </w:rPr>
            </w:pPr>
            <w:r>
              <w:rPr>
                <w:rFonts w:hint="eastAsia" w:ascii="Times New Roman" w:hAnsi="Times New Roman" w:cs="Times New Roman"/>
                <w:color w:val="auto"/>
                <w:sz w:val="24"/>
              </w:rPr>
              <w:t>本项目所在地——无锡市是“双控区”中的酸雨控制区和太湖流域三级保护区。本项目为无污染生态型环境工程，运营期中无“三废”排放，没有总量控制指标。</w:t>
            </w:r>
          </w:p>
        </w:tc>
      </w:tr>
    </w:tbl>
    <w:p>
      <w:pPr>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0"/>
        <w:adjustRightInd w:val="0"/>
        <w:snapToGrid w:val="0"/>
        <w:rPr>
          <w:color w:val="auto"/>
        </w:rPr>
      </w:pPr>
      <w:r>
        <w:rPr>
          <w:rFonts w:hint="eastAsia"/>
          <w:color w:val="auto"/>
        </w:rPr>
        <w:t>五、</w:t>
      </w:r>
      <w:r>
        <w:rPr>
          <w:color w:val="auto"/>
        </w:rPr>
        <w:t>建设项目工程分析</w:t>
      </w:r>
    </w:p>
    <w:tbl>
      <w:tblPr>
        <w:tblStyle w:val="16"/>
        <w:tblW w:w="8980" w:type="dxa"/>
        <w:jc w:val="center"/>
        <w:tblInd w:w="-825"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98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499" w:hRule="atLeast"/>
          <w:jc w:val="center"/>
        </w:trPr>
        <w:tc>
          <w:tcPr>
            <w:tcW w:w="8980" w:type="dxa"/>
            <w:tcBorders>
              <w:top w:val="single" w:color="auto" w:sz="4" w:space="0"/>
              <w:bottom w:val="single" w:color="auto" w:sz="4" w:space="0"/>
            </w:tcBorders>
          </w:tcPr>
          <w:p>
            <w:pPr>
              <w:tabs>
                <w:tab w:val="left" w:pos="2640"/>
              </w:tabs>
              <w:adjustRightInd w:val="0"/>
              <w:snapToGrid w:val="0"/>
              <w:spacing w:line="360" w:lineRule="auto"/>
              <w:ind w:firstLine="482"/>
              <w:rPr>
                <w:rFonts w:ascii="Times New Roman" w:hAnsi="Times New Roman" w:eastAsia="宋体" w:cs="Times New Roman"/>
                <w:color w:val="auto"/>
                <w:sz w:val="24"/>
              </w:rPr>
            </w:pPr>
            <w:r>
              <w:rPr>
                <w:rFonts w:hint="eastAsia" w:ascii="Times New Roman" w:hAnsi="Times New Roman" w:cs="Times New Roman"/>
                <w:color w:val="auto"/>
                <w:sz w:val="24"/>
              </w:rPr>
              <w:t>本项目位于宜兴市丁蜀镇，施工期主要建设内容包括：</w:t>
            </w:r>
            <w:r>
              <w:rPr>
                <w:rFonts w:hint="eastAsia" w:ascii="Times New Roman" w:hAnsi="Times New Roman" w:eastAsia="宋体" w:cs="Times New Roman"/>
                <w:color w:val="auto"/>
                <w:sz w:val="24"/>
              </w:rPr>
              <w:t>消浪工程（生态管袋潜堤工程）、基底修复工程、堤脚保滩促淤工程、生态恢复工程。</w:t>
            </w:r>
          </w:p>
          <w:p>
            <w:pPr>
              <w:tabs>
                <w:tab w:val="left" w:pos="2640"/>
              </w:tabs>
              <w:adjustRightInd w:val="0"/>
              <w:snapToGrid w:val="0"/>
              <w:spacing w:line="360" w:lineRule="auto"/>
              <w:ind w:firstLine="482"/>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rPr>
              <w:t>1、消浪工程（生态管袋潜堤工程）</w:t>
            </w:r>
          </w:p>
          <w:p>
            <w:pPr>
              <w:tabs>
                <w:tab w:val="left" w:pos="2640"/>
              </w:tabs>
              <w:adjustRightInd w:val="0"/>
              <w:snapToGrid w:val="0"/>
              <w:spacing w:line="360" w:lineRule="auto"/>
              <w:ind w:firstLine="482"/>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①生态管袋潜堤断面设计</w:t>
            </w:r>
          </w:p>
          <w:p>
            <w:pPr>
              <w:tabs>
                <w:tab w:val="left" w:pos="2640"/>
              </w:tabs>
              <w:adjustRightInd w:val="0"/>
              <w:snapToGrid w:val="0"/>
              <w:spacing w:line="360" w:lineRule="auto"/>
              <w:ind w:firstLine="482"/>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eastAsia="zh-CN"/>
              </w:rPr>
              <w:t>生态管袋潜堤采用大型充填袋作为堤心材料。考虑到风浪对堤身稳定性影响，为双层袋体呈品字形组成，单个袋体厚度约</w:t>
            </w:r>
            <w:r>
              <w:rPr>
                <w:rFonts w:hint="eastAsia" w:ascii="Times New Roman" w:hAnsi="Times New Roman" w:eastAsia="宋体" w:cs="Times New Roman"/>
                <w:color w:val="auto"/>
                <w:sz w:val="24"/>
                <w:lang w:val="en-US" w:eastAsia="zh-CN"/>
              </w:rPr>
              <w:t>1.2m，宽6.88m，充填袋内填充太湖底泥。充填袋外侧用袋装土进行理坡，理坡宽度5m，坡比1:3。</w:t>
            </w:r>
          </w:p>
          <w:p>
            <w:pPr>
              <w:tabs>
                <w:tab w:val="left" w:pos="2640"/>
              </w:tabs>
              <w:adjustRightInd w:val="0"/>
              <w:snapToGrid w:val="0"/>
              <w:spacing w:line="360" w:lineRule="auto"/>
              <w:jc w:val="center"/>
              <w:rPr>
                <w:rFonts w:hint="eastAsia" w:ascii="Times New Roman" w:hAnsi="Times New Roman" w:eastAsia="宋体" w:cs="Times New Roman"/>
                <w:color w:val="auto"/>
                <w:sz w:val="24"/>
              </w:rPr>
            </w:pPr>
            <w:r>
              <w:drawing>
                <wp:inline distT="0" distB="0" distL="114300" distR="114300">
                  <wp:extent cx="5558155" cy="1361440"/>
                  <wp:effectExtent l="0" t="0" r="4445" b="1016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6"/>
                          <a:stretch>
                            <a:fillRect/>
                          </a:stretch>
                        </pic:blipFill>
                        <pic:spPr>
                          <a:xfrm>
                            <a:off x="0" y="0"/>
                            <a:ext cx="5558155" cy="1361440"/>
                          </a:xfrm>
                          <a:prstGeom prst="rect">
                            <a:avLst/>
                          </a:prstGeom>
                          <a:noFill/>
                          <a:ln w="9525">
                            <a:noFill/>
                          </a:ln>
                        </pic:spPr>
                      </pic:pic>
                    </a:graphicData>
                  </a:graphic>
                </wp:inline>
              </w:drawing>
            </w:r>
          </w:p>
          <w:p>
            <w:pPr>
              <w:tabs>
                <w:tab w:val="left" w:pos="2640"/>
              </w:tabs>
              <w:adjustRightInd w:val="0"/>
              <w:snapToGrid w:val="0"/>
              <w:spacing w:line="360" w:lineRule="auto"/>
              <w:jc w:val="center"/>
              <w:rPr>
                <w:rFonts w:hint="eastAsia" w:ascii="Times New Roman" w:hAnsi="Times New Roman" w:eastAsia="宋体" w:cs="Times New Roman"/>
                <w:b/>
                <w:bCs/>
                <w:color w:val="auto"/>
                <w:sz w:val="24"/>
                <w:lang w:eastAsia="zh-CN"/>
              </w:rPr>
            </w:pPr>
            <w:r>
              <w:rPr>
                <w:rFonts w:hint="eastAsia" w:ascii="Times New Roman" w:hAnsi="Times New Roman" w:eastAsia="宋体" w:cs="Times New Roman"/>
                <w:b/>
                <w:bCs/>
                <w:color w:val="auto"/>
                <w:sz w:val="24"/>
                <w:lang w:eastAsia="zh-CN"/>
              </w:rPr>
              <w:t>图</w:t>
            </w:r>
            <w:r>
              <w:rPr>
                <w:rFonts w:hint="eastAsia" w:ascii="Times New Roman" w:hAnsi="Times New Roman" w:eastAsia="宋体" w:cs="Times New Roman"/>
                <w:b/>
                <w:bCs/>
                <w:color w:val="auto"/>
                <w:sz w:val="24"/>
                <w:lang w:val="en-US" w:eastAsia="zh-CN"/>
              </w:rPr>
              <w:t>5-1  生态管袋潜堤断面示意图</w:t>
            </w:r>
          </w:p>
          <w:p>
            <w:pPr>
              <w:tabs>
                <w:tab w:val="left" w:pos="2640"/>
              </w:tabs>
              <w:adjustRightInd w:val="0"/>
              <w:snapToGrid w:val="0"/>
              <w:spacing w:line="360" w:lineRule="auto"/>
              <w:ind w:firstLine="482"/>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②生态管袋潜堤平面布置及施工工艺</w:t>
            </w:r>
          </w:p>
          <w:p>
            <w:pPr>
              <w:tabs>
                <w:tab w:val="left" w:pos="2640"/>
              </w:tabs>
              <w:adjustRightInd w:val="0"/>
              <w:snapToGrid w:val="0"/>
              <w:spacing w:line="360" w:lineRule="auto"/>
              <w:ind w:firstLine="482"/>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rPr>
              <w:t>工程区位于太湖西岸，为减少风浪对恢复区植物影响，稳定恢复区基底条件，考虑在恢复区离岸2</w:t>
            </w:r>
            <w:r>
              <w:rPr>
                <w:rFonts w:hint="eastAsia" w:ascii="Times New Roman" w:hAnsi="Times New Roman" w:eastAsia="宋体" w:cs="Times New Roman"/>
                <w:color w:val="auto"/>
                <w:sz w:val="24"/>
                <w:lang w:val="en-US" w:eastAsia="zh-CN"/>
              </w:rPr>
              <w:t>3</w:t>
            </w:r>
            <w:r>
              <w:rPr>
                <w:rFonts w:hint="eastAsia" w:ascii="Times New Roman" w:hAnsi="Times New Roman" w:eastAsia="宋体" w:cs="Times New Roman"/>
                <w:color w:val="auto"/>
                <w:sz w:val="24"/>
              </w:rPr>
              <w:t>0m处，设置生态管袋潜堤工程。</w:t>
            </w:r>
            <w:r>
              <w:rPr>
                <w:rFonts w:hint="eastAsia" w:ascii="Times New Roman" w:hAnsi="Times New Roman" w:eastAsia="宋体" w:cs="Times New Roman"/>
                <w:color w:val="auto"/>
                <w:sz w:val="24"/>
                <w:lang w:eastAsia="zh-CN"/>
              </w:rPr>
              <w:t>根据工程范围，结合施工便利等因素，生态管袋潜堤采用生态土工管袋充填太湖底泥形成，单个管袋长度</w:t>
            </w:r>
            <w:r>
              <w:rPr>
                <w:rFonts w:hint="eastAsia" w:ascii="Times New Roman" w:hAnsi="Times New Roman" w:eastAsia="宋体" w:cs="Times New Roman"/>
                <w:color w:val="auto"/>
                <w:sz w:val="24"/>
                <w:lang w:val="en-US" w:eastAsia="zh-CN"/>
              </w:rPr>
              <w:t>30m，管袋连接采用首位交错连接。具体施工工艺如下：</w:t>
            </w:r>
          </w:p>
          <w:p>
            <w:pPr>
              <w:tabs>
                <w:tab w:val="left" w:pos="2640"/>
              </w:tabs>
              <w:adjustRightInd w:val="0"/>
              <w:snapToGrid w:val="0"/>
              <w:spacing w:line="360" w:lineRule="auto"/>
              <w:ind w:firstLine="482"/>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第一步：清除铺设管袋的河床表面杂物，测量放样，并在铺设河床上设立施工标志；</w:t>
            </w:r>
          </w:p>
          <w:p>
            <w:pPr>
              <w:tabs>
                <w:tab w:val="left" w:pos="2640"/>
              </w:tabs>
              <w:adjustRightInd w:val="0"/>
              <w:snapToGrid w:val="0"/>
              <w:spacing w:line="360" w:lineRule="auto"/>
              <w:ind w:firstLine="482"/>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第二步：根据设立的施工标志，间隔布置管袋固液分离架，管袋固液分离架垂直插入河床淤泥中，且两个固液分离架的间隔为5~10m；</w:t>
            </w:r>
          </w:p>
          <w:p>
            <w:pPr>
              <w:tabs>
                <w:tab w:val="left" w:pos="2640"/>
              </w:tabs>
              <w:adjustRightInd w:val="0"/>
              <w:snapToGrid w:val="0"/>
              <w:spacing w:line="360" w:lineRule="auto"/>
              <w:ind w:firstLine="482"/>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第三步：在架设好的管袋固液分离架下方的河床上铺设管袋托板，在管袋托板上放置待填充管袋，管袋上具有挂扣，通过绳索将管袋的挂扣与安装在固液分离架顶部上的升降机构相连；</w:t>
            </w:r>
          </w:p>
          <w:p>
            <w:pPr>
              <w:tabs>
                <w:tab w:val="left" w:pos="2640"/>
              </w:tabs>
              <w:adjustRightInd w:val="0"/>
              <w:snapToGrid w:val="0"/>
              <w:spacing w:line="360" w:lineRule="auto"/>
              <w:ind w:firstLine="482"/>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第四步：在管袋上一侧间隔设置淤泥入口，另一侧间隔设置排水口，通过砂泵链接管袋的淤泥注入口分8~10次向管袋中注入淤泥，每次注浆间隔1~2h，并每次注入淤泥后，下次注入淤泥前升降管袋固液分离架上的提升装置，使管袋中的水从排水口排水，当管袋内淤泥充填均匀、饱满、平整后，淤泥填充完毕，将淤泥注入口与排水口绑扎封闭，然后重复第四步的步骤，充填两根管袋，并通过提升装置将三根管袋调整堆砌成“品”字形潜堤；</w:t>
            </w:r>
          </w:p>
          <w:p>
            <w:pPr>
              <w:tabs>
                <w:tab w:val="left" w:pos="2640"/>
              </w:tabs>
              <w:adjustRightInd w:val="0"/>
              <w:snapToGrid w:val="0"/>
              <w:spacing w:line="360" w:lineRule="auto"/>
              <w:ind w:firstLine="482"/>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第五步：开启管袋固液分离架上的升降机构，提升管袋使管袋与河床脱离，同时撤除管袋下部铺设的管袋托板；</w:t>
            </w:r>
          </w:p>
          <w:p>
            <w:pPr>
              <w:tabs>
                <w:tab w:val="left" w:pos="2640"/>
              </w:tabs>
              <w:adjustRightInd w:val="0"/>
              <w:snapToGrid w:val="0"/>
              <w:spacing w:line="360" w:lineRule="auto"/>
              <w:ind w:firstLine="482"/>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第六步：下降管袋固液分离架上的提升机构，使管袋的挂扣与管袋固液分离架脱离，并撤出管袋固液分离架。</w:t>
            </w:r>
          </w:p>
          <w:p>
            <w:pPr>
              <w:tabs>
                <w:tab w:val="left" w:pos="2640"/>
              </w:tabs>
              <w:adjustRightInd w:val="0"/>
              <w:snapToGrid w:val="0"/>
              <w:spacing w:line="360" w:lineRule="auto"/>
              <w:ind w:firstLine="482"/>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rPr>
              <w:t>2、基底修复工程</w:t>
            </w:r>
          </w:p>
          <w:p>
            <w:pPr>
              <w:tabs>
                <w:tab w:val="left" w:pos="2640"/>
              </w:tabs>
              <w:adjustRightInd w:val="0"/>
              <w:snapToGrid w:val="0"/>
              <w:spacing w:line="360" w:lineRule="auto"/>
              <w:ind w:firstLine="482"/>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物理基底（地质、地形、地貌）是生态系统发育和存在的载体，维护工程区物理基底的稳定，发挥其生态载体作用，是本工程设计的基础。据此要求，物理基底保护与恢复设计主要包括物理基底稳定性设计和物理基底地形、地貌的改造。</w:t>
            </w:r>
          </w:p>
          <w:p>
            <w:pPr>
              <w:numPr>
                <w:ilvl w:val="0"/>
                <w:numId w:val="0"/>
              </w:numPr>
              <w:tabs>
                <w:tab w:val="left" w:pos="2640"/>
              </w:tabs>
              <w:adjustRightInd w:val="0"/>
              <w:snapToGrid w:val="0"/>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由八房港至双桥港区域存在已建项目，为使本项目建设工程与之融为一体，拟建工程采用与之相同的设计方案：</w:t>
            </w:r>
          </w:p>
          <w:p>
            <w:pPr>
              <w:numPr>
                <w:ilvl w:val="0"/>
                <w:numId w:val="0"/>
              </w:numPr>
              <w:tabs>
                <w:tab w:val="left" w:pos="2640"/>
              </w:tabs>
              <w:adjustRightInd w:val="0"/>
              <w:snapToGrid w:val="0"/>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在太湖离岸较远处采用抓斗式挖泥船疏挖取土，向修复区进行充填堆土，提高种植区湖床高度，最低控制高程+2.8m，以便于保持芦苇生长期所需的的水深；同时将已建项目区域中间留有的导藻沟连接至双桥港河口处的打捞点并布置推流器。</w:t>
            </w:r>
          </w:p>
          <w:p>
            <w:pPr>
              <w:tabs>
                <w:tab w:val="left" w:pos="2640"/>
              </w:tabs>
              <w:adjustRightInd w:val="0"/>
              <w:snapToGrid w:val="0"/>
              <w:spacing w:line="360" w:lineRule="auto"/>
              <w:ind w:firstLine="482"/>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rPr>
              <w:t>3、堤脚保滩促淤工程</w:t>
            </w:r>
          </w:p>
          <w:p>
            <w:pPr>
              <w:tabs>
                <w:tab w:val="left" w:pos="2640"/>
              </w:tabs>
              <w:adjustRightInd w:val="0"/>
              <w:snapToGrid w:val="0"/>
              <w:spacing w:line="360" w:lineRule="auto"/>
              <w:ind w:firstLine="482"/>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大堤堤岸是混凝土材料，波浪到达大堤，与大堤碰撞破碎后，回浪对堤脚浅滩不断淘蚀，造成堤脚处植物赖以生存的淤泥无法保留，芦苇等水生植物逐渐退化消失。为减少波浪对堤脚土壤的淘刷，考虑在大堤堤脚处吹填一定厚度底泥，减小回浪，保护堤脚滩地，逐渐促进堤脚处淤泥堆积，形成适宜水生植物生存的土壤环境。</w:t>
            </w:r>
          </w:p>
          <w:p>
            <w:pPr>
              <w:tabs>
                <w:tab w:val="left" w:pos="2640"/>
              </w:tabs>
              <w:adjustRightInd w:val="0"/>
              <w:snapToGrid w:val="0"/>
              <w:spacing w:line="360" w:lineRule="auto"/>
              <w:ind w:firstLine="482"/>
              <w:rPr>
                <w:rFonts w:ascii="Times New Roman" w:hAnsi="Times New Roman" w:eastAsia="宋体" w:cs="Times New Roman"/>
                <w:color w:val="auto"/>
                <w:sz w:val="24"/>
              </w:rPr>
            </w:pPr>
            <w:r>
              <w:rPr>
                <w:rFonts w:hint="eastAsia" w:ascii="Times New Roman" w:hAnsi="Times New Roman" w:eastAsia="宋体" w:cs="Times New Roman"/>
                <w:color w:val="auto"/>
                <w:sz w:val="24"/>
              </w:rPr>
              <w:t>太湖大堤堤脚处利用抓斗式挖泥船在大堤堤脚开始回填，堤脚堆土高程为+4.0~4.2m，向外延伸10m，形成自然缓坡。</w:t>
            </w:r>
          </w:p>
          <w:p>
            <w:pPr>
              <w:tabs>
                <w:tab w:val="left" w:pos="2640"/>
              </w:tabs>
              <w:adjustRightInd w:val="0"/>
              <w:snapToGrid w:val="0"/>
              <w:spacing w:line="360" w:lineRule="auto"/>
              <w:ind w:firstLine="482"/>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rPr>
              <w:t>4、生态恢复工程</w:t>
            </w:r>
          </w:p>
          <w:p>
            <w:pPr>
              <w:tabs>
                <w:tab w:val="left" w:pos="2640"/>
              </w:tabs>
              <w:adjustRightInd w:val="0"/>
              <w:snapToGrid w:val="0"/>
              <w:spacing w:line="360" w:lineRule="auto"/>
              <w:ind w:firstLine="482"/>
              <w:rPr>
                <w:rFonts w:ascii="Times New Roman" w:hAnsi="Times New Roman" w:eastAsia="宋体" w:cs="Times New Roman"/>
                <w:color w:val="auto"/>
                <w:sz w:val="24"/>
              </w:rPr>
            </w:pPr>
            <w:r>
              <w:rPr>
                <w:rFonts w:hint="eastAsia" w:ascii="Times New Roman" w:hAnsi="Times New Roman" w:eastAsia="宋体" w:cs="Times New Roman"/>
                <w:color w:val="auto"/>
                <w:sz w:val="24"/>
              </w:rPr>
              <w:t>针对植物生长所需水土条件设计基底高程，于靠近堤脚处高程+3.8以上铺种狗牙根，栽植迎春花、秋菊、四季秋海棠、鸢尾、月季、杜鹃等花卉，于高程+3.2m~3.8m 处栽植再力花、千屈菜、美人蕉、黄菖蒲、香蒲、芦苇等湿生或挺水植物，于深水处栽植睡莲、荷花等浮叶植物和马来眼子菜、轮叶黑藻等沉水植物。</w:t>
            </w:r>
          </w:p>
          <w:p>
            <w:pPr>
              <w:tabs>
                <w:tab w:val="left" w:pos="2640"/>
              </w:tabs>
              <w:adjustRightInd w:val="0"/>
              <w:snapToGrid w:val="0"/>
              <w:spacing w:line="360" w:lineRule="auto"/>
              <w:rPr>
                <w:rFonts w:ascii="Times New Roman" w:hAnsi="Times New Roman" w:cs="Times New Roman"/>
                <w:color w:val="auto"/>
                <w:sz w:val="24"/>
                <w:szCs w:val="24"/>
              </w:rPr>
            </w:pPr>
          </w:p>
          <w:p>
            <w:pPr>
              <w:tabs>
                <w:tab w:val="left" w:pos="2640"/>
              </w:tabs>
              <w:adjustRightInd w:val="0"/>
              <w:snapToGrid w:val="0"/>
              <w:spacing w:line="360" w:lineRule="auto"/>
              <w:rPr>
                <w:rFonts w:ascii="Times New Roman" w:hAnsi="Times New Roman" w:cs="Times New Roman"/>
                <w:color w:val="auto"/>
                <w:sz w:val="24"/>
                <w:szCs w:val="24"/>
              </w:rPr>
            </w:pPr>
          </w:p>
          <w:p>
            <w:pPr>
              <w:tabs>
                <w:tab w:val="left" w:pos="2640"/>
              </w:tabs>
              <w:adjustRightInd w:val="0"/>
              <w:snapToGrid w:val="0"/>
              <w:spacing w:line="360" w:lineRule="auto"/>
              <w:rPr>
                <w:rFonts w:ascii="Times New Roman" w:hAnsi="Times New Roman"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001" w:hRule="atLeast"/>
          <w:jc w:val="center"/>
        </w:trPr>
        <w:tc>
          <w:tcPr>
            <w:tcW w:w="8980" w:type="dxa"/>
            <w:tcBorders>
              <w:top w:val="single" w:color="auto" w:sz="4" w:space="0"/>
              <w:bottom w:val="single" w:color="auto" w:sz="4" w:space="0"/>
            </w:tcBorders>
          </w:tcPr>
          <w:p>
            <w:pPr>
              <w:tabs>
                <w:tab w:val="left" w:pos="2640"/>
              </w:tabs>
              <w:adjustRightInd w:val="0"/>
              <w:snapToGrid w:val="0"/>
              <w:spacing w:line="360" w:lineRule="auto"/>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主要污染工序：</w:t>
            </w:r>
          </w:p>
          <w:p>
            <w:pPr>
              <w:tabs>
                <w:tab w:val="left" w:pos="2640"/>
              </w:tabs>
              <w:adjustRightInd w:val="0"/>
              <w:snapToGrid w:val="0"/>
              <w:spacing w:line="360" w:lineRule="auto"/>
              <w:ind w:firstLine="480" w:firstLineChars="200"/>
              <w:rPr>
                <w:rFonts w:hint="eastAsia" w:ascii="Times New Roman" w:hAnsi="Times New Roman" w:cs="Times New Roman"/>
                <w:b/>
                <w:bCs/>
                <w:color w:val="auto"/>
                <w:sz w:val="24"/>
                <w:szCs w:val="24"/>
                <w:lang w:val="en-US" w:eastAsia="zh-CN"/>
              </w:rPr>
            </w:pPr>
            <w:r>
              <w:rPr>
                <w:rFonts w:hint="eastAsia" w:ascii="Times New Roman" w:hAnsi="Times New Roman" w:cs="Times New Roman"/>
                <w:b w:val="0"/>
                <w:bCs w:val="0"/>
                <w:color w:val="auto"/>
                <w:sz w:val="24"/>
                <w:szCs w:val="24"/>
                <w:lang w:eastAsia="zh-CN"/>
              </w:rPr>
              <w:t>本项目分两期建设，建设内容一致，一期建设总工量的</w:t>
            </w:r>
            <w:r>
              <w:rPr>
                <w:rFonts w:hint="eastAsia" w:ascii="Times New Roman" w:hAnsi="Times New Roman" w:cs="Times New Roman"/>
                <w:b w:val="0"/>
                <w:bCs w:val="0"/>
                <w:color w:val="auto"/>
                <w:sz w:val="24"/>
                <w:szCs w:val="24"/>
                <w:lang w:val="en-US" w:eastAsia="zh-CN"/>
              </w:rPr>
              <w:t>35%，二期建设总工量的65%。</w:t>
            </w:r>
          </w:p>
          <w:p>
            <w:pPr>
              <w:tabs>
                <w:tab w:val="left" w:pos="2640"/>
              </w:tabs>
              <w:adjustRightInd w:val="0"/>
              <w:snapToGrid w:val="0"/>
              <w:spacing w:line="360" w:lineRule="auto"/>
              <w:rPr>
                <w:rFonts w:ascii="Times New Roman" w:hAnsi="Times New Roman" w:cs="Times New Roman"/>
                <w:b/>
                <w:bCs/>
                <w:color w:val="auto"/>
                <w:sz w:val="24"/>
                <w:szCs w:val="24"/>
                <w:u w:val="thick"/>
              </w:rPr>
            </w:pPr>
            <w:r>
              <w:rPr>
                <w:rFonts w:hint="eastAsia" w:ascii="Times New Roman" w:hAnsi="Times New Roman" w:cs="Times New Roman"/>
                <w:b/>
                <w:bCs/>
                <w:color w:val="auto"/>
                <w:sz w:val="24"/>
                <w:szCs w:val="24"/>
                <w:u w:val="thick"/>
                <w:lang w:eastAsia="zh-CN"/>
              </w:rPr>
              <w:t>一期</w:t>
            </w:r>
            <w:r>
              <w:rPr>
                <w:rFonts w:hint="eastAsia" w:ascii="Times New Roman" w:hAnsi="Times New Roman" w:cs="Times New Roman"/>
                <w:b/>
                <w:bCs/>
                <w:color w:val="auto"/>
                <w:sz w:val="24"/>
                <w:szCs w:val="24"/>
                <w:u w:val="thick"/>
              </w:rPr>
              <w:t>施工期污染</w:t>
            </w:r>
            <w:r>
              <w:rPr>
                <w:rFonts w:hint="eastAsia" w:ascii="Times New Roman" w:hAnsi="Times New Roman" w:cs="Times New Roman"/>
                <w:b/>
                <w:bCs/>
                <w:color w:val="auto"/>
                <w:sz w:val="24"/>
                <w:szCs w:val="24"/>
                <w:u w:val="thick"/>
                <w:lang w:eastAsia="zh-CN"/>
              </w:rPr>
              <w:t>：</w:t>
            </w:r>
          </w:p>
          <w:p>
            <w:pPr>
              <w:tabs>
                <w:tab w:val="left" w:pos="2640"/>
              </w:tabs>
              <w:adjustRightInd w:val="0"/>
              <w:snapToGrid w:val="0"/>
              <w:spacing w:line="360" w:lineRule="auto"/>
              <w:ind w:firstLine="482" w:firstLineChars="200"/>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1、废气</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项目</w:t>
            </w:r>
            <w:r>
              <w:rPr>
                <w:rFonts w:hint="eastAsia" w:ascii="Times New Roman" w:hAnsi="Times New Roman" w:cs="Times New Roman"/>
                <w:color w:val="auto"/>
                <w:sz w:val="24"/>
                <w:szCs w:val="24"/>
                <w:lang w:eastAsia="zh-CN"/>
              </w:rPr>
              <w:t>一期</w:t>
            </w:r>
            <w:r>
              <w:rPr>
                <w:rFonts w:hint="eastAsia" w:ascii="Times New Roman" w:hAnsi="Times New Roman" w:cs="Times New Roman"/>
                <w:color w:val="auto"/>
                <w:sz w:val="24"/>
                <w:szCs w:val="24"/>
              </w:rPr>
              <w:t>施工期产生的大气污染主要来自挖出的淤泥产生的恶臭、车辆行驶过程中车辆的尾气、运输路上携带起的扬尘等。</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①恶臭</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恶臭主要产生于清淤过程中。由于含有有机物腐殖的污染底泥，在受到扰动和推置于地面时，其中含有的恶臭物质（主要为氨、硫化氢等）将呈无组织状态释放，从而对周围环境产生较为不利的影响。</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②扬尘</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lang w:eastAsia="zh-CN"/>
              </w:rPr>
              <w:t>施工及运输</w:t>
            </w:r>
            <w:r>
              <w:rPr>
                <w:rFonts w:hint="eastAsia" w:ascii="Times New Roman" w:hAnsi="Times New Roman" w:cs="Times New Roman"/>
                <w:color w:val="auto"/>
                <w:sz w:val="24"/>
                <w:szCs w:val="24"/>
              </w:rPr>
              <w:t>车辆行驶过程路上携带起的扬尘以及施工作业过程中产生的扬尘对施工现场局部区域产生TSP污染，其污染范围和程度与施工工艺、施工管理及气象条件等多种因素有关，先进的施工工艺和科学的施工管理，可基本将TSP污染范围控制在施工界内区域。</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③</w:t>
            </w:r>
            <w:r>
              <w:rPr>
                <w:rFonts w:hint="eastAsia" w:ascii="Times New Roman" w:hAnsi="Times New Roman" w:cs="Times New Roman"/>
                <w:color w:val="auto"/>
                <w:sz w:val="24"/>
                <w:szCs w:val="24"/>
                <w:lang w:eastAsia="zh-CN"/>
              </w:rPr>
              <w:t>施工及运输</w:t>
            </w:r>
            <w:r>
              <w:rPr>
                <w:rFonts w:hint="eastAsia" w:ascii="Times New Roman" w:hAnsi="Times New Roman" w:cs="Times New Roman"/>
                <w:color w:val="auto"/>
                <w:sz w:val="24"/>
                <w:szCs w:val="24"/>
              </w:rPr>
              <w:t>设备尾气</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主要为施工设施排放的废气，主要污染物有CO、NO</w:t>
            </w:r>
            <w:r>
              <w:rPr>
                <w:rFonts w:hint="eastAsia" w:ascii="Times New Roman" w:hAnsi="Times New Roman" w:cs="Times New Roman"/>
                <w:color w:val="auto"/>
                <w:sz w:val="24"/>
                <w:szCs w:val="24"/>
                <w:vertAlign w:val="subscript"/>
              </w:rPr>
              <w:t>2</w:t>
            </w:r>
            <w:r>
              <w:rPr>
                <w:rFonts w:hint="eastAsia" w:ascii="Times New Roman" w:hAnsi="Times New Roman" w:cs="Times New Roman"/>
                <w:color w:val="auto"/>
                <w:sz w:val="24"/>
                <w:szCs w:val="24"/>
              </w:rPr>
              <w:t>、THC等。污染源为无组织排放，点源分散，其中运输车辆的流动性较大，尾气的排放特征与面源相似。但总的排放量不大，根据类似工程分析数据，CO、NO</w:t>
            </w:r>
            <w:r>
              <w:rPr>
                <w:rFonts w:hint="eastAsia" w:ascii="Times New Roman" w:hAnsi="Times New Roman" w:cs="Times New Roman"/>
                <w:color w:val="auto"/>
                <w:sz w:val="24"/>
                <w:szCs w:val="24"/>
                <w:vertAlign w:val="subscript"/>
              </w:rPr>
              <w:t>2</w:t>
            </w:r>
            <w:r>
              <w:rPr>
                <w:rFonts w:hint="eastAsia" w:ascii="Times New Roman" w:hAnsi="Times New Roman" w:cs="Times New Roman"/>
                <w:color w:val="auto"/>
                <w:sz w:val="24"/>
                <w:szCs w:val="24"/>
              </w:rPr>
              <w:t>、THC浓度一般低于允许排放浓度，对施工人员的影响很小。</w:t>
            </w:r>
          </w:p>
          <w:p>
            <w:pPr>
              <w:tabs>
                <w:tab w:val="left" w:pos="2640"/>
              </w:tabs>
              <w:adjustRightInd w:val="0"/>
              <w:snapToGrid w:val="0"/>
              <w:spacing w:line="360" w:lineRule="auto"/>
              <w:ind w:firstLine="482" w:firstLineChars="200"/>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2、废水</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项目</w:t>
            </w:r>
            <w:r>
              <w:rPr>
                <w:rFonts w:hint="eastAsia" w:ascii="Times New Roman" w:hAnsi="Times New Roman" w:cs="Times New Roman"/>
                <w:color w:val="auto"/>
                <w:sz w:val="24"/>
                <w:szCs w:val="24"/>
                <w:lang w:eastAsia="zh-CN"/>
              </w:rPr>
              <w:t>一期</w:t>
            </w:r>
            <w:r>
              <w:rPr>
                <w:rFonts w:hint="eastAsia" w:ascii="Times New Roman" w:hAnsi="Times New Roman" w:cs="Times New Roman"/>
                <w:color w:val="auto"/>
                <w:sz w:val="24"/>
                <w:szCs w:val="24"/>
              </w:rPr>
              <w:t>施工期废水主要包括施工人员的生活污水、施工过程产生的废水。</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①生活污水</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lang w:eastAsia="zh-CN"/>
              </w:rPr>
              <w:t>一期</w:t>
            </w:r>
            <w:r>
              <w:rPr>
                <w:rFonts w:hint="eastAsia" w:ascii="Times New Roman" w:hAnsi="Times New Roman" w:cs="Times New Roman"/>
                <w:color w:val="auto"/>
                <w:sz w:val="24"/>
                <w:szCs w:val="24"/>
              </w:rPr>
              <w:t>建设，共</w:t>
            </w:r>
            <w:r>
              <w:rPr>
                <w:rFonts w:hint="eastAsia" w:ascii="Times New Roman" w:hAnsi="Times New Roman" w:cs="Times New Roman"/>
                <w:color w:val="auto"/>
                <w:sz w:val="24"/>
                <w:szCs w:val="24"/>
                <w:lang w:val="en-US" w:eastAsia="zh-CN"/>
              </w:rPr>
              <w:t>3</w:t>
            </w:r>
            <w:r>
              <w:rPr>
                <w:rFonts w:hint="eastAsia" w:ascii="Times New Roman" w:hAnsi="Times New Roman" w:cs="Times New Roman"/>
                <w:color w:val="auto"/>
                <w:sz w:val="24"/>
                <w:szCs w:val="24"/>
              </w:rPr>
              <w:t>个月（按</w:t>
            </w:r>
            <w:r>
              <w:rPr>
                <w:rFonts w:hint="eastAsia" w:ascii="Times New Roman" w:hAnsi="Times New Roman" w:cs="Times New Roman"/>
                <w:color w:val="auto"/>
                <w:sz w:val="24"/>
                <w:szCs w:val="24"/>
                <w:lang w:val="en-US" w:eastAsia="zh-CN"/>
              </w:rPr>
              <w:t>60</w:t>
            </w:r>
            <w:r>
              <w:rPr>
                <w:rFonts w:hint="eastAsia" w:ascii="Times New Roman" w:hAnsi="Times New Roman" w:cs="Times New Roman"/>
                <w:color w:val="auto"/>
                <w:sz w:val="24"/>
                <w:szCs w:val="24"/>
              </w:rPr>
              <w:t>天计），施工人员最高日按35人计，生活用水量按50L/人·d计（《给排水设计手册》），则生活用水量为1.75m</w:t>
            </w:r>
            <w:r>
              <w:rPr>
                <w:rFonts w:hint="eastAsia" w:ascii="Times New Roman" w:hAnsi="Times New Roman" w:cs="Times New Roman"/>
                <w:color w:val="auto"/>
                <w:sz w:val="24"/>
                <w:szCs w:val="24"/>
                <w:vertAlign w:val="superscript"/>
              </w:rPr>
              <w:t>3</w:t>
            </w:r>
            <w:r>
              <w:rPr>
                <w:rFonts w:hint="eastAsia" w:ascii="Times New Roman" w:hAnsi="Times New Roman" w:cs="Times New Roman"/>
                <w:color w:val="auto"/>
                <w:sz w:val="24"/>
                <w:szCs w:val="24"/>
              </w:rPr>
              <w:t>/d。生活污水的排放量按用水量的80%计，则生活污水的排放量为1.4m</w:t>
            </w:r>
            <w:r>
              <w:rPr>
                <w:rFonts w:hint="eastAsia" w:ascii="Times New Roman" w:hAnsi="Times New Roman" w:cs="Times New Roman"/>
                <w:color w:val="auto"/>
                <w:sz w:val="24"/>
                <w:szCs w:val="24"/>
                <w:vertAlign w:val="superscript"/>
              </w:rPr>
              <w:t>3</w:t>
            </w:r>
            <w:r>
              <w:rPr>
                <w:rFonts w:hint="eastAsia" w:ascii="Times New Roman" w:hAnsi="Times New Roman" w:cs="Times New Roman"/>
                <w:color w:val="auto"/>
                <w:sz w:val="24"/>
                <w:szCs w:val="24"/>
              </w:rPr>
              <w:t>/d，施工期生活污水排放量约</w:t>
            </w:r>
            <w:r>
              <w:rPr>
                <w:rFonts w:hint="eastAsia" w:ascii="Times New Roman" w:hAnsi="Times New Roman" w:cs="Times New Roman"/>
                <w:color w:val="auto"/>
                <w:sz w:val="24"/>
                <w:szCs w:val="24"/>
                <w:lang w:val="en-US" w:eastAsia="zh-CN"/>
              </w:rPr>
              <w:t>84</w:t>
            </w:r>
            <w:r>
              <w:rPr>
                <w:rFonts w:hint="eastAsia" w:ascii="Times New Roman" w:hAnsi="Times New Roman" w:cs="Times New Roman"/>
                <w:color w:val="auto"/>
                <w:sz w:val="24"/>
                <w:szCs w:val="24"/>
              </w:rPr>
              <w:t>m</w:t>
            </w:r>
            <w:r>
              <w:rPr>
                <w:rFonts w:hint="eastAsia" w:ascii="Times New Roman" w:hAnsi="Times New Roman" w:cs="Times New Roman"/>
                <w:color w:val="auto"/>
                <w:sz w:val="24"/>
                <w:szCs w:val="24"/>
                <w:vertAlign w:val="superscript"/>
              </w:rPr>
              <w:t>3</w:t>
            </w:r>
            <w:r>
              <w:rPr>
                <w:rFonts w:hint="eastAsia" w:ascii="Times New Roman" w:hAnsi="Times New Roman" w:cs="Times New Roman"/>
                <w:color w:val="auto"/>
                <w:sz w:val="24"/>
                <w:szCs w:val="24"/>
              </w:rPr>
              <w:t>。</w:t>
            </w:r>
          </w:p>
          <w:p>
            <w:pPr>
              <w:tabs>
                <w:tab w:val="left" w:pos="2640"/>
              </w:tabs>
              <w:adjustRightInd w:val="0"/>
              <w:snapToGrid w:val="0"/>
              <w:jc w:val="center"/>
              <w:rPr>
                <w:rFonts w:ascii="Times New Roman" w:hAnsi="Times New Roman" w:cs="Times New Roman"/>
                <w:b/>
                <w:bCs/>
                <w:color w:val="auto"/>
                <w:sz w:val="24"/>
                <w:szCs w:val="24"/>
              </w:rPr>
            </w:pPr>
          </w:p>
          <w:p>
            <w:pPr>
              <w:tabs>
                <w:tab w:val="left" w:pos="2640"/>
              </w:tabs>
              <w:adjustRightInd w:val="0"/>
              <w:snapToGrid w:val="0"/>
              <w:jc w:val="center"/>
              <w:rPr>
                <w:rFonts w:ascii="Times New Roman" w:hAnsi="Times New Roman" w:cs="Times New Roman"/>
                <w:b/>
                <w:bCs/>
                <w:color w:val="auto"/>
                <w:sz w:val="24"/>
                <w:szCs w:val="24"/>
              </w:rPr>
            </w:pPr>
          </w:p>
          <w:p>
            <w:pPr>
              <w:tabs>
                <w:tab w:val="left" w:pos="2640"/>
              </w:tabs>
              <w:adjustRightInd w:val="0"/>
              <w:snapToGrid w:val="0"/>
              <w:jc w:val="center"/>
              <w:rPr>
                <w:rFonts w:ascii="Times New Roman" w:hAnsi="Times New Roman" w:cs="Times New Roman"/>
                <w:b/>
                <w:bCs/>
                <w:color w:val="auto"/>
                <w:sz w:val="24"/>
                <w:szCs w:val="24"/>
              </w:rPr>
            </w:pPr>
          </w:p>
          <w:p>
            <w:pPr>
              <w:tabs>
                <w:tab w:val="left" w:pos="2640"/>
              </w:tabs>
              <w:adjustRightInd w:val="0"/>
              <w:snapToGrid w:val="0"/>
              <w:jc w:val="center"/>
              <w:rPr>
                <w:rFonts w:ascii="Times New Roman" w:hAnsi="Times New Roman" w:cs="Times New Roman"/>
                <w:b/>
                <w:bCs/>
                <w:color w:val="FF0000"/>
                <w:sz w:val="24"/>
                <w:szCs w:val="24"/>
              </w:rPr>
            </w:pPr>
            <w:r>
              <w:rPr>
                <w:rFonts w:hint="eastAsia" w:ascii="Times New Roman" w:hAnsi="Times New Roman" w:cs="Times New Roman"/>
                <w:b/>
                <w:bCs/>
                <w:color w:val="FF0000"/>
                <w:sz w:val="24"/>
                <w:szCs w:val="24"/>
              </w:rPr>
              <w:t xml:space="preserve">表5-1  </w:t>
            </w:r>
            <w:r>
              <w:rPr>
                <w:rFonts w:hint="eastAsia" w:ascii="Times New Roman" w:hAnsi="Times New Roman" w:cs="Times New Roman"/>
                <w:b/>
                <w:bCs/>
                <w:color w:val="FF0000"/>
                <w:sz w:val="24"/>
                <w:szCs w:val="24"/>
                <w:lang w:eastAsia="zh-CN"/>
              </w:rPr>
              <w:t>一期</w:t>
            </w:r>
            <w:r>
              <w:rPr>
                <w:rFonts w:hint="eastAsia" w:ascii="Times New Roman" w:hAnsi="Times New Roman" w:cs="Times New Roman"/>
                <w:b/>
                <w:bCs/>
                <w:color w:val="FF0000"/>
                <w:sz w:val="24"/>
                <w:szCs w:val="24"/>
              </w:rPr>
              <w:t>施工期废水产排情况一览表</w:t>
            </w:r>
          </w:p>
          <w:tbl>
            <w:tblPr>
              <w:tblStyle w:val="17"/>
              <w:tblW w:w="876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6"/>
              <w:gridCol w:w="737"/>
              <w:gridCol w:w="838"/>
              <w:gridCol w:w="1075"/>
              <w:gridCol w:w="800"/>
              <w:gridCol w:w="725"/>
              <w:gridCol w:w="1062"/>
              <w:gridCol w:w="863"/>
              <w:gridCol w:w="1062"/>
              <w:gridCol w:w="95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46" w:type="dxa"/>
                  <w:tcBorders>
                    <w:tl2br w:val="nil"/>
                    <w:tr2bl w:val="nil"/>
                  </w:tcBorders>
                  <w:vAlign w:val="center"/>
                </w:tcPr>
                <w:p>
                  <w:pPr>
                    <w:tabs>
                      <w:tab w:val="left" w:pos="2640"/>
                    </w:tabs>
                    <w:adjustRightInd w:val="0"/>
                    <w:snapToGrid w:val="0"/>
                    <w:jc w:val="center"/>
                    <w:rPr>
                      <w:rFonts w:ascii="Times New Roman" w:hAnsi="Times New Roman" w:cs="Times New Roman"/>
                      <w:b/>
                      <w:bCs/>
                      <w:color w:val="FF0000"/>
                      <w:szCs w:val="21"/>
                    </w:rPr>
                  </w:pPr>
                  <w:r>
                    <w:rPr>
                      <w:rFonts w:hint="eastAsia" w:ascii="Times New Roman" w:hAnsi="Times New Roman" w:cs="Times New Roman"/>
                      <w:b/>
                      <w:bCs/>
                      <w:color w:val="FF0000"/>
                      <w:szCs w:val="21"/>
                    </w:rPr>
                    <w:t>项目</w:t>
                  </w:r>
                </w:p>
              </w:tc>
              <w:tc>
                <w:tcPr>
                  <w:tcW w:w="737" w:type="dxa"/>
                  <w:tcBorders>
                    <w:tl2br w:val="nil"/>
                    <w:tr2bl w:val="nil"/>
                  </w:tcBorders>
                  <w:vAlign w:val="center"/>
                </w:tcPr>
                <w:p>
                  <w:pPr>
                    <w:tabs>
                      <w:tab w:val="left" w:pos="2640"/>
                    </w:tabs>
                    <w:adjustRightInd w:val="0"/>
                    <w:snapToGrid w:val="0"/>
                    <w:jc w:val="center"/>
                    <w:rPr>
                      <w:rFonts w:ascii="Times New Roman" w:hAnsi="Times New Roman" w:cs="Times New Roman"/>
                      <w:b/>
                      <w:bCs/>
                      <w:color w:val="FF0000"/>
                      <w:szCs w:val="21"/>
                    </w:rPr>
                  </w:pPr>
                  <w:r>
                    <w:rPr>
                      <w:rFonts w:hint="eastAsia" w:ascii="Times New Roman" w:hAnsi="Times New Roman" w:cs="Times New Roman"/>
                      <w:b/>
                      <w:bCs/>
                      <w:color w:val="FF0000"/>
                      <w:szCs w:val="21"/>
                    </w:rPr>
                    <w:t>废水量（t）</w:t>
                  </w:r>
                </w:p>
              </w:tc>
              <w:tc>
                <w:tcPr>
                  <w:tcW w:w="838" w:type="dxa"/>
                  <w:tcBorders>
                    <w:tl2br w:val="nil"/>
                    <w:tr2bl w:val="nil"/>
                  </w:tcBorders>
                  <w:vAlign w:val="center"/>
                </w:tcPr>
                <w:p>
                  <w:pPr>
                    <w:tabs>
                      <w:tab w:val="left" w:pos="2640"/>
                    </w:tabs>
                    <w:adjustRightInd w:val="0"/>
                    <w:snapToGrid w:val="0"/>
                    <w:jc w:val="center"/>
                    <w:rPr>
                      <w:rFonts w:ascii="Times New Roman" w:hAnsi="Times New Roman" w:cs="Times New Roman"/>
                      <w:b/>
                      <w:bCs/>
                      <w:color w:val="FF0000"/>
                      <w:szCs w:val="21"/>
                    </w:rPr>
                  </w:pPr>
                  <w:r>
                    <w:rPr>
                      <w:rFonts w:hint="eastAsia" w:ascii="Times New Roman" w:hAnsi="Times New Roman" w:cs="Times New Roman"/>
                      <w:b/>
                      <w:bCs/>
                      <w:color w:val="FF0000"/>
                      <w:szCs w:val="21"/>
                    </w:rPr>
                    <w:t>污染因子</w:t>
                  </w:r>
                </w:p>
              </w:tc>
              <w:tc>
                <w:tcPr>
                  <w:tcW w:w="1075" w:type="dxa"/>
                  <w:tcBorders>
                    <w:tl2br w:val="nil"/>
                    <w:tr2bl w:val="nil"/>
                  </w:tcBorders>
                  <w:vAlign w:val="center"/>
                </w:tcPr>
                <w:p>
                  <w:pPr>
                    <w:tabs>
                      <w:tab w:val="left" w:pos="2640"/>
                    </w:tabs>
                    <w:adjustRightInd w:val="0"/>
                    <w:snapToGrid w:val="0"/>
                    <w:jc w:val="center"/>
                    <w:rPr>
                      <w:rFonts w:ascii="Times New Roman" w:hAnsi="Times New Roman" w:cs="Times New Roman"/>
                      <w:b/>
                      <w:bCs/>
                      <w:color w:val="FF0000"/>
                      <w:szCs w:val="21"/>
                    </w:rPr>
                  </w:pPr>
                  <w:r>
                    <w:rPr>
                      <w:rFonts w:hint="eastAsia" w:ascii="Times New Roman" w:hAnsi="Times New Roman" w:cs="Times New Roman"/>
                      <w:b/>
                      <w:bCs/>
                      <w:color w:val="FF0000"/>
                      <w:szCs w:val="21"/>
                    </w:rPr>
                    <w:t>产生浓度（mg/L）</w:t>
                  </w:r>
                </w:p>
              </w:tc>
              <w:tc>
                <w:tcPr>
                  <w:tcW w:w="800" w:type="dxa"/>
                  <w:tcBorders>
                    <w:tl2br w:val="nil"/>
                    <w:tr2bl w:val="nil"/>
                  </w:tcBorders>
                  <w:vAlign w:val="center"/>
                </w:tcPr>
                <w:p>
                  <w:pPr>
                    <w:tabs>
                      <w:tab w:val="left" w:pos="2640"/>
                    </w:tabs>
                    <w:adjustRightInd w:val="0"/>
                    <w:snapToGrid w:val="0"/>
                    <w:jc w:val="center"/>
                    <w:rPr>
                      <w:rFonts w:ascii="Times New Roman" w:hAnsi="Times New Roman" w:cs="Times New Roman"/>
                      <w:b/>
                      <w:bCs/>
                      <w:color w:val="FF0000"/>
                      <w:szCs w:val="21"/>
                    </w:rPr>
                  </w:pPr>
                  <w:r>
                    <w:rPr>
                      <w:rFonts w:hint="eastAsia" w:ascii="Times New Roman" w:hAnsi="Times New Roman" w:cs="Times New Roman"/>
                      <w:b/>
                      <w:bCs/>
                      <w:color w:val="FF0000"/>
                      <w:szCs w:val="21"/>
                    </w:rPr>
                    <w:t>产生量（t）</w:t>
                  </w:r>
                </w:p>
              </w:tc>
              <w:tc>
                <w:tcPr>
                  <w:tcW w:w="725" w:type="dxa"/>
                  <w:tcBorders>
                    <w:tl2br w:val="nil"/>
                    <w:tr2bl w:val="nil"/>
                  </w:tcBorders>
                  <w:vAlign w:val="center"/>
                </w:tcPr>
                <w:p>
                  <w:pPr>
                    <w:tabs>
                      <w:tab w:val="left" w:pos="2640"/>
                    </w:tabs>
                    <w:adjustRightInd w:val="0"/>
                    <w:snapToGrid w:val="0"/>
                    <w:jc w:val="center"/>
                    <w:rPr>
                      <w:rFonts w:ascii="Times New Roman" w:hAnsi="Times New Roman" w:cs="Times New Roman"/>
                      <w:b/>
                      <w:bCs/>
                      <w:color w:val="FF0000"/>
                      <w:szCs w:val="21"/>
                    </w:rPr>
                  </w:pPr>
                  <w:r>
                    <w:rPr>
                      <w:rFonts w:hint="eastAsia" w:ascii="Times New Roman" w:hAnsi="Times New Roman" w:cs="Times New Roman"/>
                      <w:b/>
                      <w:bCs/>
                      <w:color w:val="FF0000"/>
                      <w:szCs w:val="21"/>
                    </w:rPr>
                    <w:t>处理措施</w:t>
                  </w:r>
                </w:p>
              </w:tc>
              <w:tc>
                <w:tcPr>
                  <w:tcW w:w="1062" w:type="dxa"/>
                  <w:tcBorders>
                    <w:tl2br w:val="nil"/>
                    <w:tr2bl w:val="nil"/>
                  </w:tcBorders>
                  <w:vAlign w:val="center"/>
                </w:tcPr>
                <w:p>
                  <w:pPr>
                    <w:tabs>
                      <w:tab w:val="left" w:pos="2640"/>
                    </w:tabs>
                    <w:adjustRightInd w:val="0"/>
                    <w:snapToGrid w:val="0"/>
                    <w:jc w:val="center"/>
                    <w:rPr>
                      <w:rFonts w:ascii="Times New Roman" w:hAnsi="Times New Roman" w:cs="Times New Roman"/>
                      <w:b/>
                      <w:bCs/>
                      <w:color w:val="FF0000"/>
                      <w:szCs w:val="21"/>
                    </w:rPr>
                  </w:pPr>
                  <w:r>
                    <w:rPr>
                      <w:rFonts w:hint="eastAsia" w:ascii="Times New Roman" w:hAnsi="Times New Roman" w:cs="Times New Roman"/>
                      <w:b/>
                      <w:bCs/>
                      <w:color w:val="FF0000"/>
                      <w:szCs w:val="21"/>
                    </w:rPr>
                    <w:t>接管浓度（mg/L）</w:t>
                  </w:r>
                </w:p>
              </w:tc>
              <w:tc>
                <w:tcPr>
                  <w:tcW w:w="863" w:type="dxa"/>
                  <w:tcBorders>
                    <w:tl2br w:val="nil"/>
                    <w:tr2bl w:val="nil"/>
                  </w:tcBorders>
                  <w:vAlign w:val="center"/>
                </w:tcPr>
                <w:p>
                  <w:pPr>
                    <w:tabs>
                      <w:tab w:val="left" w:pos="2640"/>
                    </w:tabs>
                    <w:adjustRightInd w:val="0"/>
                    <w:snapToGrid w:val="0"/>
                    <w:jc w:val="center"/>
                    <w:rPr>
                      <w:rFonts w:ascii="Times New Roman" w:hAnsi="Times New Roman" w:cs="Times New Roman"/>
                      <w:b/>
                      <w:bCs/>
                      <w:color w:val="FF0000"/>
                      <w:szCs w:val="21"/>
                    </w:rPr>
                  </w:pPr>
                  <w:r>
                    <w:rPr>
                      <w:rFonts w:hint="eastAsia" w:ascii="Times New Roman" w:hAnsi="Times New Roman" w:cs="Times New Roman"/>
                      <w:b/>
                      <w:bCs/>
                      <w:color w:val="FF0000"/>
                      <w:szCs w:val="21"/>
                    </w:rPr>
                    <w:t>接管量（t）</w:t>
                  </w:r>
                </w:p>
              </w:tc>
              <w:tc>
                <w:tcPr>
                  <w:tcW w:w="1062" w:type="dxa"/>
                  <w:tcBorders>
                    <w:tl2br w:val="nil"/>
                    <w:tr2bl w:val="nil"/>
                  </w:tcBorders>
                  <w:vAlign w:val="center"/>
                </w:tcPr>
                <w:p>
                  <w:pPr>
                    <w:tabs>
                      <w:tab w:val="left" w:pos="2640"/>
                    </w:tabs>
                    <w:adjustRightInd w:val="0"/>
                    <w:snapToGrid w:val="0"/>
                    <w:jc w:val="center"/>
                    <w:rPr>
                      <w:rFonts w:ascii="Times New Roman" w:hAnsi="Times New Roman" w:cs="Times New Roman"/>
                      <w:b/>
                      <w:bCs/>
                      <w:color w:val="FF0000"/>
                      <w:szCs w:val="21"/>
                    </w:rPr>
                  </w:pPr>
                  <w:r>
                    <w:rPr>
                      <w:rFonts w:hint="eastAsia" w:ascii="Times New Roman" w:hAnsi="Times New Roman" w:cs="Times New Roman"/>
                      <w:b/>
                      <w:bCs/>
                      <w:color w:val="FF0000"/>
                      <w:szCs w:val="21"/>
                    </w:rPr>
                    <w:t>排放浓度（mg/L）</w:t>
                  </w:r>
                </w:p>
              </w:tc>
              <w:tc>
                <w:tcPr>
                  <w:tcW w:w="956" w:type="dxa"/>
                  <w:tcBorders>
                    <w:tl2br w:val="nil"/>
                    <w:tr2bl w:val="nil"/>
                  </w:tcBorders>
                  <w:vAlign w:val="center"/>
                </w:tcPr>
                <w:p>
                  <w:pPr>
                    <w:tabs>
                      <w:tab w:val="left" w:pos="2640"/>
                    </w:tabs>
                    <w:adjustRightInd w:val="0"/>
                    <w:snapToGrid w:val="0"/>
                    <w:jc w:val="center"/>
                    <w:rPr>
                      <w:rFonts w:ascii="Times New Roman" w:hAnsi="Times New Roman" w:cs="Times New Roman"/>
                      <w:b/>
                      <w:bCs/>
                      <w:color w:val="FF0000"/>
                      <w:szCs w:val="21"/>
                    </w:rPr>
                  </w:pPr>
                  <w:r>
                    <w:rPr>
                      <w:rFonts w:hint="eastAsia" w:ascii="Times New Roman" w:hAnsi="Times New Roman" w:cs="Times New Roman"/>
                      <w:b/>
                      <w:bCs/>
                      <w:color w:val="FF0000"/>
                      <w:szCs w:val="21"/>
                    </w:rPr>
                    <w:t>排放量（t）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46" w:type="dxa"/>
                  <w:vMerge w:val="restart"/>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生活污水</w:t>
                  </w:r>
                </w:p>
              </w:tc>
              <w:tc>
                <w:tcPr>
                  <w:tcW w:w="737" w:type="dxa"/>
                  <w:vMerge w:val="restart"/>
                  <w:tcBorders>
                    <w:tl2br w:val="nil"/>
                    <w:tr2bl w:val="nil"/>
                  </w:tcBorders>
                  <w:vAlign w:val="center"/>
                </w:tcPr>
                <w:p>
                  <w:pPr>
                    <w:tabs>
                      <w:tab w:val="left" w:pos="2640"/>
                    </w:tabs>
                    <w:adjustRightInd w:val="0"/>
                    <w:snapToGrid w:val="0"/>
                    <w:jc w:val="center"/>
                    <w:rPr>
                      <w:rFonts w:hint="eastAsia" w:ascii="Times New Roman" w:hAnsi="Times New Roman" w:cs="Times New Roman" w:eastAsiaTheme="minorEastAsia"/>
                      <w:color w:val="FF0000"/>
                      <w:szCs w:val="21"/>
                      <w:lang w:eastAsia="zh-CN"/>
                    </w:rPr>
                  </w:pPr>
                  <w:r>
                    <w:rPr>
                      <w:rFonts w:hint="eastAsia" w:ascii="Times New Roman" w:hAnsi="Times New Roman" w:cs="Times New Roman"/>
                      <w:color w:val="FF0000"/>
                      <w:szCs w:val="21"/>
                      <w:lang w:val="en-US" w:eastAsia="zh-CN"/>
                    </w:rPr>
                    <w:t>84</w:t>
                  </w:r>
                </w:p>
              </w:tc>
              <w:tc>
                <w:tcPr>
                  <w:tcW w:w="838" w:type="dxa"/>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COD</w:t>
                  </w:r>
                </w:p>
              </w:tc>
              <w:tc>
                <w:tcPr>
                  <w:tcW w:w="1075" w:type="dxa"/>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300</w:t>
                  </w:r>
                </w:p>
              </w:tc>
              <w:tc>
                <w:tcPr>
                  <w:tcW w:w="800" w:type="dxa"/>
                  <w:tcBorders>
                    <w:tl2br w:val="nil"/>
                    <w:tr2bl w:val="nil"/>
                  </w:tcBorders>
                  <w:vAlign w:val="center"/>
                </w:tcPr>
                <w:p>
                  <w:pPr>
                    <w:tabs>
                      <w:tab w:val="left" w:pos="2640"/>
                    </w:tabs>
                    <w:adjustRightInd w:val="0"/>
                    <w:snapToGrid w:val="0"/>
                    <w:jc w:val="center"/>
                    <w:rPr>
                      <w:rFonts w:hint="eastAsia"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0.252</w:t>
                  </w:r>
                </w:p>
              </w:tc>
              <w:tc>
                <w:tcPr>
                  <w:tcW w:w="725" w:type="dxa"/>
                  <w:vMerge w:val="restart"/>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就近原有卫生设施</w:t>
                  </w:r>
                </w:p>
              </w:tc>
              <w:tc>
                <w:tcPr>
                  <w:tcW w:w="1062" w:type="dxa"/>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300</w:t>
                  </w:r>
                </w:p>
              </w:tc>
              <w:tc>
                <w:tcPr>
                  <w:tcW w:w="863" w:type="dxa"/>
                  <w:tcBorders>
                    <w:tl2br w:val="nil"/>
                    <w:tr2bl w:val="nil"/>
                  </w:tcBorders>
                  <w:vAlign w:val="center"/>
                </w:tcPr>
                <w:p>
                  <w:pPr>
                    <w:tabs>
                      <w:tab w:val="left" w:pos="2640"/>
                    </w:tabs>
                    <w:adjustRightInd w:val="0"/>
                    <w:snapToGrid w:val="0"/>
                    <w:jc w:val="center"/>
                    <w:rPr>
                      <w:rFonts w:hint="eastAsia"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0.252</w:t>
                  </w:r>
                </w:p>
              </w:tc>
              <w:tc>
                <w:tcPr>
                  <w:tcW w:w="1062" w:type="dxa"/>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50</w:t>
                  </w:r>
                </w:p>
              </w:tc>
              <w:tc>
                <w:tcPr>
                  <w:tcW w:w="956" w:type="dxa"/>
                  <w:tcBorders>
                    <w:tl2br w:val="nil"/>
                    <w:tr2bl w:val="nil"/>
                  </w:tcBorders>
                  <w:vAlign w:val="center"/>
                </w:tcPr>
                <w:p>
                  <w:pPr>
                    <w:tabs>
                      <w:tab w:val="left" w:pos="2640"/>
                    </w:tabs>
                    <w:adjustRightInd w:val="0"/>
                    <w:snapToGrid w:val="0"/>
                    <w:jc w:val="center"/>
                    <w:rPr>
                      <w:rFonts w:hint="eastAsia"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46"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737"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838" w:type="dxa"/>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SS</w:t>
                  </w:r>
                </w:p>
              </w:tc>
              <w:tc>
                <w:tcPr>
                  <w:tcW w:w="1075" w:type="dxa"/>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250</w:t>
                  </w:r>
                </w:p>
              </w:tc>
              <w:tc>
                <w:tcPr>
                  <w:tcW w:w="800" w:type="dxa"/>
                  <w:tcBorders>
                    <w:tl2br w:val="nil"/>
                    <w:tr2bl w:val="nil"/>
                  </w:tcBorders>
                  <w:vAlign w:val="center"/>
                </w:tcPr>
                <w:p>
                  <w:pPr>
                    <w:tabs>
                      <w:tab w:val="left" w:pos="2640"/>
                    </w:tabs>
                    <w:adjustRightInd w:val="0"/>
                    <w:snapToGrid w:val="0"/>
                    <w:jc w:val="center"/>
                    <w:rPr>
                      <w:rFonts w:hint="eastAsia" w:ascii="Times New Roman" w:hAnsi="Times New Roman" w:cs="Times New Roman"/>
                      <w:color w:val="FF0000"/>
                      <w:szCs w:val="21"/>
                      <w:lang w:val="en-US" w:eastAsia="zh-CN"/>
                    </w:rPr>
                  </w:pPr>
                  <w:r>
                    <w:rPr>
                      <w:rFonts w:hint="eastAsia" w:ascii="Times New Roman" w:hAnsi="Times New Roman" w:cs="Times New Roman"/>
                      <w:color w:val="FF0000"/>
                      <w:szCs w:val="21"/>
                      <w:lang w:val="en-US" w:eastAsia="zh-CN"/>
                    </w:rPr>
                    <w:t>0.021</w:t>
                  </w:r>
                </w:p>
              </w:tc>
              <w:tc>
                <w:tcPr>
                  <w:tcW w:w="725"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1062" w:type="dxa"/>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200</w:t>
                  </w:r>
                </w:p>
              </w:tc>
              <w:tc>
                <w:tcPr>
                  <w:tcW w:w="863" w:type="dxa"/>
                  <w:tcBorders>
                    <w:tl2br w:val="nil"/>
                    <w:tr2bl w:val="nil"/>
                  </w:tcBorders>
                  <w:vAlign w:val="center"/>
                </w:tcPr>
                <w:p>
                  <w:pPr>
                    <w:tabs>
                      <w:tab w:val="left" w:pos="2640"/>
                    </w:tabs>
                    <w:adjustRightInd w:val="0"/>
                    <w:snapToGrid w:val="0"/>
                    <w:jc w:val="center"/>
                    <w:rPr>
                      <w:rFonts w:hint="eastAsia"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0.017</w:t>
                  </w:r>
                </w:p>
              </w:tc>
              <w:tc>
                <w:tcPr>
                  <w:tcW w:w="1062" w:type="dxa"/>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10</w:t>
                  </w:r>
                </w:p>
              </w:tc>
              <w:tc>
                <w:tcPr>
                  <w:tcW w:w="956" w:type="dxa"/>
                  <w:tcBorders>
                    <w:tl2br w:val="nil"/>
                    <w:tr2bl w:val="nil"/>
                  </w:tcBorders>
                  <w:vAlign w:val="center"/>
                </w:tcPr>
                <w:p>
                  <w:pPr>
                    <w:tabs>
                      <w:tab w:val="left" w:pos="2640"/>
                    </w:tabs>
                    <w:adjustRightInd w:val="0"/>
                    <w:snapToGrid w:val="0"/>
                    <w:jc w:val="center"/>
                    <w:rPr>
                      <w:rFonts w:hint="eastAsia"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46"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737"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838" w:type="dxa"/>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NH</w:t>
                  </w:r>
                  <w:r>
                    <w:rPr>
                      <w:rFonts w:hint="eastAsia" w:ascii="Times New Roman" w:hAnsi="Times New Roman" w:cs="Times New Roman"/>
                      <w:color w:val="FF0000"/>
                      <w:szCs w:val="21"/>
                      <w:vertAlign w:val="subscript"/>
                    </w:rPr>
                    <w:t>3</w:t>
                  </w:r>
                  <w:r>
                    <w:rPr>
                      <w:rFonts w:hint="eastAsia" w:ascii="Times New Roman" w:hAnsi="Times New Roman" w:cs="Times New Roman"/>
                      <w:color w:val="FF0000"/>
                      <w:szCs w:val="21"/>
                    </w:rPr>
                    <w:t>-N</w:t>
                  </w:r>
                </w:p>
              </w:tc>
              <w:tc>
                <w:tcPr>
                  <w:tcW w:w="1075" w:type="dxa"/>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30</w:t>
                  </w:r>
                </w:p>
              </w:tc>
              <w:tc>
                <w:tcPr>
                  <w:tcW w:w="800" w:type="dxa"/>
                  <w:tcBorders>
                    <w:tl2br w:val="nil"/>
                    <w:tr2bl w:val="nil"/>
                  </w:tcBorders>
                  <w:vAlign w:val="center"/>
                </w:tcPr>
                <w:p>
                  <w:pPr>
                    <w:tabs>
                      <w:tab w:val="left" w:pos="2640"/>
                    </w:tabs>
                    <w:adjustRightInd w:val="0"/>
                    <w:snapToGrid w:val="0"/>
                    <w:jc w:val="center"/>
                    <w:rPr>
                      <w:rFonts w:hint="eastAsia"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0.003</w:t>
                  </w:r>
                </w:p>
              </w:tc>
              <w:tc>
                <w:tcPr>
                  <w:tcW w:w="725"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1062" w:type="dxa"/>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30</w:t>
                  </w:r>
                </w:p>
              </w:tc>
              <w:tc>
                <w:tcPr>
                  <w:tcW w:w="863" w:type="dxa"/>
                  <w:tcBorders>
                    <w:tl2br w:val="nil"/>
                    <w:tr2bl w:val="nil"/>
                  </w:tcBorders>
                  <w:vAlign w:val="center"/>
                </w:tcPr>
                <w:p>
                  <w:pPr>
                    <w:tabs>
                      <w:tab w:val="left" w:pos="2640"/>
                    </w:tabs>
                    <w:adjustRightInd w:val="0"/>
                    <w:snapToGrid w:val="0"/>
                    <w:jc w:val="center"/>
                    <w:rPr>
                      <w:rFonts w:hint="eastAsia"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0.003</w:t>
                  </w:r>
                </w:p>
              </w:tc>
              <w:tc>
                <w:tcPr>
                  <w:tcW w:w="1062" w:type="dxa"/>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5</w:t>
                  </w:r>
                </w:p>
              </w:tc>
              <w:tc>
                <w:tcPr>
                  <w:tcW w:w="956" w:type="dxa"/>
                  <w:tcBorders>
                    <w:tl2br w:val="nil"/>
                    <w:tr2bl w:val="nil"/>
                  </w:tcBorders>
                  <w:vAlign w:val="center"/>
                </w:tcPr>
                <w:p>
                  <w:pPr>
                    <w:tabs>
                      <w:tab w:val="left" w:pos="2640"/>
                    </w:tabs>
                    <w:adjustRightInd w:val="0"/>
                    <w:snapToGrid w:val="0"/>
                    <w:jc w:val="center"/>
                    <w:rPr>
                      <w:rFonts w:hint="eastAsia"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0.0004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46"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737"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838" w:type="dxa"/>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TP</w:t>
                  </w:r>
                </w:p>
              </w:tc>
              <w:tc>
                <w:tcPr>
                  <w:tcW w:w="1075" w:type="dxa"/>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5</w:t>
                  </w:r>
                </w:p>
              </w:tc>
              <w:tc>
                <w:tcPr>
                  <w:tcW w:w="800" w:type="dxa"/>
                  <w:tcBorders>
                    <w:tl2br w:val="nil"/>
                    <w:tr2bl w:val="nil"/>
                  </w:tcBorders>
                  <w:vAlign w:val="center"/>
                </w:tcPr>
                <w:p>
                  <w:pPr>
                    <w:tabs>
                      <w:tab w:val="left" w:pos="2640"/>
                    </w:tabs>
                    <w:adjustRightInd w:val="0"/>
                    <w:snapToGrid w:val="0"/>
                    <w:jc w:val="center"/>
                    <w:rPr>
                      <w:rFonts w:hint="eastAsia"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0.0004</w:t>
                  </w:r>
                </w:p>
              </w:tc>
              <w:tc>
                <w:tcPr>
                  <w:tcW w:w="725"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1062" w:type="dxa"/>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5</w:t>
                  </w:r>
                </w:p>
              </w:tc>
              <w:tc>
                <w:tcPr>
                  <w:tcW w:w="863" w:type="dxa"/>
                  <w:tcBorders>
                    <w:tl2br w:val="nil"/>
                    <w:tr2bl w:val="nil"/>
                  </w:tcBorders>
                  <w:vAlign w:val="center"/>
                </w:tcPr>
                <w:p>
                  <w:pPr>
                    <w:tabs>
                      <w:tab w:val="left" w:pos="2640"/>
                    </w:tabs>
                    <w:adjustRightInd w:val="0"/>
                    <w:snapToGrid w:val="0"/>
                    <w:jc w:val="center"/>
                    <w:rPr>
                      <w:rFonts w:hint="eastAsia"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0.0004</w:t>
                  </w:r>
                </w:p>
              </w:tc>
              <w:tc>
                <w:tcPr>
                  <w:tcW w:w="1062" w:type="dxa"/>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0.5</w:t>
                  </w:r>
                </w:p>
              </w:tc>
              <w:tc>
                <w:tcPr>
                  <w:tcW w:w="956" w:type="dxa"/>
                  <w:tcBorders>
                    <w:tl2br w:val="nil"/>
                    <w:tr2bl w:val="nil"/>
                  </w:tcBorders>
                  <w:vAlign w:val="center"/>
                </w:tcPr>
                <w:p>
                  <w:pPr>
                    <w:tabs>
                      <w:tab w:val="left" w:pos="2640"/>
                    </w:tabs>
                    <w:adjustRightInd w:val="0"/>
                    <w:snapToGrid w:val="0"/>
                    <w:jc w:val="center"/>
                    <w:rPr>
                      <w:rFonts w:hint="eastAsia"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0.00004</w:t>
                  </w:r>
                </w:p>
              </w:tc>
            </w:tr>
          </w:tbl>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②施工废水</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施工废水主要包括车辆和施工设备的冲洗废水等。冲洗废水的质和量是随机的，其产生量具有较大的不确定性，其主要污染物为SS、石油类。</w:t>
            </w:r>
          </w:p>
          <w:p>
            <w:pPr>
              <w:tabs>
                <w:tab w:val="left" w:pos="2640"/>
              </w:tabs>
              <w:adjustRightInd w:val="0"/>
              <w:snapToGrid w:val="0"/>
              <w:spacing w:line="360" w:lineRule="auto"/>
              <w:ind w:firstLine="482" w:firstLineChars="200"/>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3、噪声</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lang w:eastAsia="zh-CN"/>
              </w:rPr>
              <w:t>一期</w:t>
            </w:r>
            <w:r>
              <w:rPr>
                <w:rFonts w:hint="eastAsia" w:ascii="Times New Roman" w:hAnsi="Times New Roman" w:cs="Times New Roman"/>
                <w:color w:val="auto"/>
                <w:sz w:val="24"/>
                <w:szCs w:val="24"/>
              </w:rPr>
              <w:t>施工过程中</w:t>
            </w:r>
            <w:r>
              <w:rPr>
                <w:rFonts w:hint="eastAsia" w:ascii="Times New Roman" w:hAnsi="Times New Roman" w:cs="Times New Roman"/>
                <w:color w:val="auto"/>
                <w:sz w:val="24"/>
                <w:szCs w:val="24"/>
                <w:lang w:eastAsia="zh-CN"/>
              </w:rPr>
              <w:t>主要噪声包括</w:t>
            </w:r>
            <w:r>
              <w:rPr>
                <w:rFonts w:hint="eastAsia" w:ascii="Times New Roman" w:hAnsi="Times New Roman" w:cs="Times New Roman"/>
                <w:color w:val="auto"/>
                <w:sz w:val="24"/>
                <w:szCs w:val="24"/>
              </w:rPr>
              <w:t>施工机械（挖泥船、装载机、泥浆泵等）和车辆等产生的噪声污染。根据常用机械的实测资料，其污染源强见表5-2。</w:t>
            </w:r>
          </w:p>
          <w:p>
            <w:pPr>
              <w:tabs>
                <w:tab w:val="left" w:pos="2640"/>
              </w:tabs>
              <w:adjustRightInd w:val="0"/>
              <w:snapToGrid w:val="0"/>
              <w:jc w:val="center"/>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 xml:space="preserve">表5-2  </w:t>
            </w:r>
            <w:r>
              <w:rPr>
                <w:rFonts w:hint="eastAsia" w:ascii="Times New Roman" w:hAnsi="Times New Roman" w:cs="Times New Roman"/>
                <w:b/>
                <w:bCs/>
                <w:color w:val="auto"/>
                <w:sz w:val="24"/>
                <w:szCs w:val="24"/>
                <w:lang w:eastAsia="zh-CN"/>
              </w:rPr>
              <w:t>一期</w:t>
            </w:r>
            <w:r>
              <w:rPr>
                <w:rFonts w:hint="eastAsia" w:ascii="Times New Roman" w:hAnsi="Times New Roman" w:cs="Times New Roman"/>
                <w:b/>
                <w:bCs/>
                <w:color w:val="auto"/>
                <w:sz w:val="24"/>
                <w:szCs w:val="24"/>
              </w:rPr>
              <w:t>常用施工机械设备声级预测值及范围</w:t>
            </w:r>
          </w:p>
          <w:tbl>
            <w:tblPr>
              <w:tblStyle w:val="17"/>
              <w:tblW w:w="876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2666"/>
              <w:gridCol w:w="2515"/>
              <w:gridCol w:w="257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09" w:type="dxa"/>
                  <w:tcBorders>
                    <w:tl2br w:val="nil"/>
                    <w:tr2bl w:val="nil"/>
                  </w:tcBorders>
                  <w:vAlign w:val="center"/>
                </w:tcPr>
                <w:p>
                  <w:pPr>
                    <w:tabs>
                      <w:tab w:val="left" w:pos="2640"/>
                    </w:tabs>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序号</w:t>
                  </w:r>
                </w:p>
              </w:tc>
              <w:tc>
                <w:tcPr>
                  <w:tcW w:w="2666" w:type="dxa"/>
                  <w:tcBorders>
                    <w:tl2br w:val="nil"/>
                    <w:tr2bl w:val="nil"/>
                  </w:tcBorders>
                  <w:vAlign w:val="center"/>
                </w:tcPr>
                <w:p>
                  <w:pPr>
                    <w:tabs>
                      <w:tab w:val="left" w:pos="2640"/>
                    </w:tabs>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机械类型</w:t>
                  </w:r>
                </w:p>
              </w:tc>
              <w:tc>
                <w:tcPr>
                  <w:tcW w:w="2515" w:type="dxa"/>
                  <w:tcBorders>
                    <w:tl2br w:val="nil"/>
                    <w:tr2bl w:val="nil"/>
                  </w:tcBorders>
                  <w:vAlign w:val="center"/>
                </w:tcPr>
                <w:p>
                  <w:pPr>
                    <w:tabs>
                      <w:tab w:val="left" w:pos="2640"/>
                    </w:tabs>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测点距施工机械距离（m）</w:t>
                  </w:r>
                </w:p>
              </w:tc>
              <w:tc>
                <w:tcPr>
                  <w:tcW w:w="2574" w:type="dxa"/>
                  <w:tcBorders>
                    <w:tl2br w:val="nil"/>
                    <w:tr2bl w:val="nil"/>
                  </w:tcBorders>
                  <w:vAlign w:val="center"/>
                </w:tcPr>
                <w:p>
                  <w:pPr>
                    <w:tabs>
                      <w:tab w:val="left" w:pos="2640"/>
                    </w:tabs>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最大声级Leq（dB（A））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09" w:type="dxa"/>
                  <w:tcBorders>
                    <w:tl2br w:val="nil"/>
                    <w:tr2bl w:val="nil"/>
                  </w:tcBorders>
                  <w:vAlign w:val="center"/>
                </w:tcPr>
                <w:p>
                  <w:pPr>
                    <w:tabs>
                      <w:tab w:val="left" w:pos="2640"/>
                    </w:tabs>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1</w:t>
                  </w:r>
                </w:p>
              </w:tc>
              <w:tc>
                <w:tcPr>
                  <w:tcW w:w="2666" w:type="dxa"/>
                  <w:tcBorders>
                    <w:tl2br w:val="nil"/>
                    <w:tr2bl w:val="nil"/>
                  </w:tcBorders>
                  <w:vAlign w:val="center"/>
                </w:tcPr>
                <w:p>
                  <w:pPr>
                    <w:tabs>
                      <w:tab w:val="left" w:pos="2640"/>
                    </w:tabs>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挖泥船</w:t>
                  </w:r>
                </w:p>
              </w:tc>
              <w:tc>
                <w:tcPr>
                  <w:tcW w:w="2515" w:type="dxa"/>
                  <w:tcBorders>
                    <w:tl2br w:val="nil"/>
                    <w:tr2bl w:val="nil"/>
                  </w:tcBorders>
                  <w:vAlign w:val="center"/>
                </w:tcPr>
                <w:p>
                  <w:pPr>
                    <w:tabs>
                      <w:tab w:val="left" w:pos="2640"/>
                    </w:tabs>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5</w:t>
                  </w:r>
                </w:p>
              </w:tc>
              <w:tc>
                <w:tcPr>
                  <w:tcW w:w="2574" w:type="dxa"/>
                  <w:tcBorders>
                    <w:tl2br w:val="nil"/>
                    <w:tr2bl w:val="nil"/>
                  </w:tcBorders>
                  <w:vAlign w:val="center"/>
                </w:tcPr>
                <w:p>
                  <w:pPr>
                    <w:tabs>
                      <w:tab w:val="left" w:pos="2640"/>
                    </w:tabs>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84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09" w:type="dxa"/>
                  <w:tcBorders>
                    <w:tl2br w:val="nil"/>
                    <w:tr2bl w:val="nil"/>
                  </w:tcBorders>
                  <w:vAlign w:val="center"/>
                </w:tcPr>
                <w:p>
                  <w:pPr>
                    <w:tabs>
                      <w:tab w:val="left" w:pos="2640"/>
                    </w:tabs>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2</w:t>
                  </w:r>
                </w:p>
              </w:tc>
              <w:tc>
                <w:tcPr>
                  <w:tcW w:w="2666" w:type="dxa"/>
                  <w:tcBorders>
                    <w:tl2br w:val="nil"/>
                    <w:tr2bl w:val="nil"/>
                  </w:tcBorders>
                  <w:vAlign w:val="center"/>
                </w:tcPr>
                <w:p>
                  <w:pPr>
                    <w:tabs>
                      <w:tab w:val="left" w:pos="2640"/>
                    </w:tabs>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起重机</w:t>
                  </w:r>
                </w:p>
              </w:tc>
              <w:tc>
                <w:tcPr>
                  <w:tcW w:w="2515" w:type="dxa"/>
                  <w:tcBorders>
                    <w:tl2br w:val="nil"/>
                    <w:tr2bl w:val="nil"/>
                  </w:tcBorders>
                  <w:vAlign w:val="center"/>
                </w:tcPr>
                <w:p>
                  <w:pPr>
                    <w:tabs>
                      <w:tab w:val="left" w:pos="2640"/>
                    </w:tabs>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5</w:t>
                  </w:r>
                </w:p>
              </w:tc>
              <w:tc>
                <w:tcPr>
                  <w:tcW w:w="2574" w:type="dxa"/>
                  <w:tcBorders>
                    <w:tl2br w:val="nil"/>
                    <w:tr2bl w:val="nil"/>
                  </w:tcBorders>
                  <w:vAlign w:val="center"/>
                </w:tcPr>
                <w:p>
                  <w:pPr>
                    <w:tabs>
                      <w:tab w:val="left" w:pos="2640"/>
                    </w:tabs>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09" w:type="dxa"/>
                  <w:tcBorders>
                    <w:tl2br w:val="nil"/>
                    <w:tr2bl w:val="nil"/>
                  </w:tcBorders>
                  <w:vAlign w:val="center"/>
                </w:tcPr>
                <w:p>
                  <w:pPr>
                    <w:tabs>
                      <w:tab w:val="left" w:pos="2640"/>
                    </w:tabs>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3</w:t>
                  </w:r>
                </w:p>
              </w:tc>
              <w:tc>
                <w:tcPr>
                  <w:tcW w:w="2666" w:type="dxa"/>
                  <w:tcBorders>
                    <w:tl2br w:val="nil"/>
                    <w:tr2bl w:val="nil"/>
                  </w:tcBorders>
                  <w:vAlign w:val="center"/>
                </w:tcPr>
                <w:p>
                  <w:pPr>
                    <w:tabs>
                      <w:tab w:val="left" w:pos="2640"/>
                    </w:tabs>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装载机</w:t>
                  </w:r>
                </w:p>
              </w:tc>
              <w:tc>
                <w:tcPr>
                  <w:tcW w:w="2515" w:type="dxa"/>
                  <w:tcBorders>
                    <w:tl2br w:val="nil"/>
                    <w:tr2bl w:val="nil"/>
                  </w:tcBorders>
                  <w:vAlign w:val="center"/>
                </w:tcPr>
                <w:p>
                  <w:pPr>
                    <w:tabs>
                      <w:tab w:val="left" w:pos="2640"/>
                    </w:tabs>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5</w:t>
                  </w:r>
                </w:p>
              </w:tc>
              <w:tc>
                <w:tcPr>
                  <w:tcW w:w="2574" w:type="dxa"/>
                  <w:tcBorders>
                    <w:tl2br w:val="nil"/>
                    <w:tr2bl w:val="nil"/>
                  </w:tcBorders>
                  <w:vAlign w:val="center"/>
                </w:tcPr>
                <w:p>
                  <w:pPr>
                    <w:tabs>
                      <w:tab w:val="left" w:pos="2640"/>
                    </w:tabs>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82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09" w:type="dxa"/>
                  <w:tcBorders>
                    <w:tl2br w:val="nil"/>
                    <w:tr2bl w:val="nil"/>
                  </w:tcBorders>
                  <w:vAlign w:val="center"/>
                </w:tcPr>
                <w:p>
                  <w:pPr>
                    <w:tabs>
                      <w:tab w:val="left" w:pos="2640"/>
                    </w:tabs>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4</w:t>
                  </w:r>
                </w:p>
              </w:tc>
              <w:tc>
                <w:tcPr>
                  <w:tcW w:w="2666" w:type="dxa"/>
                  <w:tcBorders>
                    <w:tl2br w:val="nil"/>
                    <w:tr2bl w:val="nil"/>
                  </w:tcBorders>
                  <w:vAlign w:val="center"/>
                </w:tcPr>
                <w:p>
                  <w:pPr>
                    <w:tabs>
                      <w:tab w:val="left" w:pos="2640"/>
                    </w:tabs>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泥浆泵</w:t>
                  </w:r>
                </w:p>
              </w:tc>
              <w:tc>
                <w:tcPr>
                  <w:tcW w:w="2515" w:type="dxa"/>
                  <w:tcBorders>
                    <w:tl2br w:val="nil"/>
                    <w:tr2bl w:val="nil"/>
                  </w:tcBorders>
                  <w:vAlign w:val="center"/>
                </w:tcPr>
                <w:p>
                  <w:pPr>
                    <w:tabs>
                      <w:tab w:val="left" w:pos="2640"/>
                    </w:tabs>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5</w:t>
                  </w:r>
                </w:p>
              </w:tc>
              <w:tc>
                <w:tcPr>
                  <w:tcW w:w="2574" w:type="dxa"/>
                  <w:tcBorders>
                    <w:tl2br w:val="nil"/>
                    <w:tr2bl w:val="nil"/>
                  </w:tcBorders>
                  <w:vAlign w:val="center"/>
                </w:tcPr>
                <w:p>
                  <w:pPr>
                    <w:tabs>
                      <w:tab w:val="left" w:pos="2640"/>
                    </w:tabs>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90</w:t>
                  </w:r>
                </w:p>
              </w:tc>
            </w:tr>
          </w:tbl>
          <w:p>
            <w:pPr>
              <w:tabs>
                <w:tab w:val="left" w:pos="2640"/>
              </w:tabs>
              <w:adjustRightInd w:val="0"/>
              <w:snapToGrid w:val="0"/>
              <w:spacing w:line="360" w:lineRule="auto"/>
              <w:ind w:firstLine="482" w:firstLineChars="200"/>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4、固体废弃物</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lang w:eastAsia="zh-CN"/>
              </w:rPr>
              <w:t>一期</w:t>
            </w:r>
            <w:r>
              <w:rPr>
                <w:rFonts w:hint="eastAsia" w:ascii="Times New Roman" w:hAnsi="Times New Roman" w:cs="Times New Roman"/>
                <w:color w:val="auto"/>
                <w:sz w:val="24"/>
                <w:szCs w:val="24"/>
              </w:rPr>
              <w:t>施工期固体废物主要是清淤污泥以及施工人员产生的生活垃圾。</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①施工人员生活垃圾</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施工人员生活垃圾按照0.5kg/人·d计，因此施工期生活垃圾产生量为</w:t>
            </w:r>
            <w:r>
              <w:rPr>
                <w:rFonts w:hint="eastAsia" w:ascii="Times New Roman" w:hAnsi="Times New Roman" w:cs="Times New Roman"/>
                <w:color w:val="auto"/>
                <w:sz w:val="24"/>
                <w:szCs w:val="24"/>
                <w:lang w:val="en-US" w:eastAsia="zh-CN"/>
              </w:rPr>
              <w:t>1.05</w:t>
            </w:r>
            <w:r>
              <w:rPr>
                <w:rFonts w:hint="eastAsia" w:ascii="Times New Roman" w:hAnsi="Times New Roman" w:cs="Times New Roman"/>
                <w:color w:val="auto"/>
                <w:sz w:val="24"/>
                <w:szCs w:val="24"/>
              </w:rPr>
              <w:t>t。由环卫部门定期统一回收。</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②淤泥</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项目</w:t>
            </w:r>
            <w:r>
              <w:rPr>
                <w:rFonts w:hint="eastAsia" w:ascii="Times New Roman" w:hAnsi="Times New Roman" w:cs="Times New Roman"/>
                <w:color w:val="auto"/>
                <w:sz w:val="24"/>
                <w:szCs w:val="24"/>
                <w:lang w:eastAsia="zh-CN"/>
              </w:rPr>
              <w:t>一期</w:t>
            </w:r>
            <w:r>
              <w:rPr>
                <w:rFonts w:hint="eastAsia" w:ascii="Times New Roman" w:hAnsi="Times New Roman" w:cs="Times New Roman"/>
                <w:color w:val="auto"/>
                <w:sz w:val="24"/>
                <w:szCs w:val="24"/>
              </w:rPr>
              <w:t>河道清淤将挖出约</w:t>
            </w:r>
            <w:r>
              <w:rPr>
                <w:rFonts w:hint="eastAsia" w:ascii="Times New Roman" w:hAnsi="Times New Roman" w:cs="Times New Roman"/>
                <w:color w:val="auto"/>
                <w:sz w:val="24"/>
                <w:szCs w:val="24"/>
                <w:lang w:val="en-US" w:eastAsia="zh-CN"/>
              </w:rPr>
              <w:t>0.85</w:t>
            </w:r>
            <w:r>
              <w:rPr>
                <w:rFonts w:hint="eastAsia" w:ascii="Times New Roman" w:hAnsi="Times New Roman" w:cs="Times New Roman"/>
                <w:color w:val="auto"/>
                <w:sz w:val="24"/>
                <w:szCs w:val="24"/>
              </w:rPr>
              <w:t>万m</w:t>
            </w:r>
            <w:r>
              <w:rPr>
                <w:rFonts w:hint="eastAsia" w:ascii="Times New Roman" w:hAnsi="Times New Roman" w:cs="Times New Roman"/>
                <w:color w:val="auto"/>
                <w:sz w:val="24"/>
                <w:szCs w:val="24"/>
                <w:vertAlign w:val="superscript"/>
              </w:rPr>
              <w:t>3</w:t>
            </w:r>
            <w:r>
              <w:rPr>
                <w:rFonts w:hint="eastAsia" w:ascii="Times New Roman" w:hAnsi="Times New Roman" w:cs="Times New Roman"/>
                <w:color w:val="auto"/>
                <w:sz w:val="24"/>
                <w:szCs w:val="24"/>
              </w:rPr>
              <w:t>淤泥，底泥全部回填，用于基底修复工程，不外排。</w:t>
            </w:r>
          </w:p>
          <w:p>
            <w:pPr>
              <w:tabs>
                <w:tab w:val="left" w:pos="2640"/>
              </w:tabs>
              <w:adjustRightInd w:val="0"/>
              <w:snapToGrid w:val="0"/>
              <w:spacing w:line="360" w:lineRule="auto"/>
              <w:ind w:firstLine="482" w:firstLineChars="200"/>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5、对生态环境的影响</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lang w:eastAsia="zh-CN"/>
              </w:rPr>
              <w:t>一期</w:t>
            </w:r>
            <w:r>
              <w:rPr>
                <w:rFonts w:hint="eastAsia" w:ascii="Times New Roman" w:hAnsi="Times New Roman" w:cs="Times New Roman"/>
                <w:color w:val="auto"/>
                <w:sz w:val="24"/>
                <w:szCs w:val="24"/>
              </w:rPr>
              <w:t>施工期间由于工程建设的需要，会破坏现有的一些水生植被及底栖生物，但施工后由于生态环境的改善，这些水生植被和底栖生物容易得到恢复。施工中，工程附近的水流形态会在小范围内发生变化，这可能会对鱼类等水生生物造成影响，但由于施工活动引起的水流形态改变是暂时的，因此水生生物受此影响不大。</w:t>
            </w:r>
          </w:p>
          <w:p>
            <w:pPr>
              <w:tabs>
                <w:tab w:val="left" w:pos="2640"/>
              </w:tabs>
              <w:adjustRightInd w:val="0"/>
              <w:snapToGrid w:val="0"/>
              <w:spacing w:line="360" w:lineRule="auto"/>
              <w:ind w:firstLine="482" w:firstLineChars="200"/>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6、对交通的影响</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本工程</w:t>
            </w:r>
            <w:r>
              <w:rPr>
                <w:rFonts w:hint="eastAsia" w:ascii="Times New Roman" w:hAnsi="Times New Roman" w:cs="Times New Roman"/>
                <w:color w:val="auto"/>
                <w:sz w:val="24"/>
                <w:szCs w:val="24"/>
                <w:lang w:eastAsia="zh-CN"/>
              </w:rPr>
              <w:t>一期</w:t>
            </w:r>
            <w:r>
              <w:rPr>
                <w:rFonts w:hint="eastAsia" w:ascii="Times New Roman" w:hAnsi="Times New Roman" w:cs="Times New Roman"/>
                <w:color w:val="auto"/>
                <w:sz w:val="24"/>
                <w:szCs w:val="24"/>
              </w:rPr>
              <w:t>施工期间，挖泥船将增加区域河道交通压力、运输汽车将增加区域道路交通压力。</w:t>
            </w:r>
          </w:p>
          <w:p>
            <w:pPr>
              <w:tabs>
                <w:tab w:val="left" w:pos="2640"/>
              </w:tabs>
              <w:adjustRightInd w:val="0"/>
              <w:snapToGrid w:val="0"/>
              <w:spacing w:line="360" w:lineRule="auto"/>
              <w:ind w:firstLine="482" w:firstLineChars="200"/>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7、对人群健康的影响</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lang w:eastAsia="zh-CN"/>
              </w:rPr>
              <w:t>一期</w:t>
            </w:r>
            <w:r>
              <w:rPr>
                <w:rFonts w:hint="eastAsia" w:ascii="Times New Roman" w:hAnsi="Times New Roman" w:cs="Times New Roman"/>
                <w:color w:val="auto"/>
                <w:sz w:val="24"/>
                <w:szCs w:val="24"/>
              </w:rPr>
              <w:t>施工人员大量进入工区，人口密度上升，给各种传染性疾病提供可传播途径，工区是潜在的疾病流行、暴发场地，工区周边居民及施工人员可能受到影响。</w:t>
            </w:r>
          </w:p>
          <w:p>
            <w:pPr>
              <w:tabs>
                <w:tab w:val="left" w:pos="2640"/>
              </w:tabs>
              <w:adjustRightInd w:val="0"/>
              <w:snapToGrid w:val="0"/>
              <w:spacing w:line="360" w:lineRule="auto"/>
              <w:ind w:firstLine="482" w:firstLineChars="200"/>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8、工程占地的影响</w:t>
            </w:r>
          </w:p>
          <w:p>
            <w:pPr>
              <w:tabs>
                <w:tab w:val="left" w:pos="2640"/>
              </w:tabs>
              <w:adjustRightInd w:val="0"/>
              <w:snapToGrid w:val="0"/>
              <w:spacing w:line="360" w:lineRule="auto"/>
              <w:ind w:firstLine="480" w:firstLineChars="200"/>
              <w:rPr>
                <w:rFonts w:hint="eastAsia" w:ascii="宋体" w:hAnsi="宋体" w:eastAsia="宋体"/>
                <w:color w:val="auto"/>
                <w:sz w:val="24"/>
              </w:rPr>
            </w:pPr>
            <w:r>
              <w:rPr>
                <w:rFonts w:hint="eastAsia" w:ascii="Times New Roman" w:hAnsi="Times New Roman" w:cs="Times New Roman"/>
                <w:color w:val="auto"/>
                <w:sz w:val="24"/>
                <w:szCs w:val="24"/>
              </w:rPr>
              <w:t>本</w:t>
            </w:r>
            <w:r>
              <w:rPr>
                <w:rStyle w:val="15"/>
                <w:rFonts w:hint="eastAsia"/>
                <w:color w:val="auto"/>
                <w:sz w:val="24"/>
                <w:szCs w:val="24"/>
                <w:lang w:eastAsia="zh-CN"/>
              </w:rPr>
              <w:t>项目</w:t>
            </w:r>
            <w:r>
              <w:rPr>
                <w:rFonts w:hint="eastAsia" w:ascii="Times New Roman" w:hAnsi="Times New Roman" w:cs="Times New Roman"/>
                <w:color w:val="auto"/>
                <w:sz w:val="24"/>
                <w:szCs w:val="24"/>
                <w:lang w:eastAsia="zh-CN"/>
              </w:rPr>
              <w:t>一期</w:t>
            </w:r>
            <w:r>
              <w:rPr>
                <w:rFonts w:hint="eastAsia" w:ascii="Times New Roman" w:hAnsi="Times New Roman" w:cs="Times New Roman"/>
                <w:color w:val="auto"/>
                <w:sz w:val="24"/>
                <w:szCs w:val="24"/>
              </w:rPr>
              <w:t>临时占地在短期内将改变原有土地利用方式，由于本工程</w:t>
            </w:r>
            <w:r>
              <w:rPr>
                <w:rFonts w:hint="eastAsia" w:ascii="Times New Roman" w:hAnsi="Times New Roman" w:cs="Times New Roman"/>
                <w:color w:val="auto"/>
                <w:sz w:val="24"/>
                <w:szCs w:val="24"/>
                <w:lang w:eastAsia="zh-CN"/>
              </w:rPr>
              <w:t>一期</w:t>
            </w:r>
            <w:r>
              <w:rPr>
                <w:rFonts w:hint="eastAsia" w:ascii="Times New Roman" w:hAnsi="Times New Roman" w:cs="Times New Roman"/>
                <w:color w:val="auto"/>
                <w:sz w:val="24"/>
                <w:szCs w:val="24"/>
              </w:rPr>
              <w:t>临时占地范围内无珍稀</w:t>
            </w:r>
            <w:r>
              <w:rPr>
                <w:rFonts w:hint="eastAsia" w:ascii="宋体" w:hAnsi="宋体" w:eastAsia="宋体"/>
                <w:color w:val="auto"/>
                <w:sz w:val="24"/>
              </w:rPr>
              <w:t>动植物的生长地和栖息地，无特殊生境和特有物种，</w:t>
            </w:r>
            <w:r>
              <w:rPr>
                <w:rFonts w:hint="eastAsia" w:ascii="Times New Roman" w:hAnsi="Times New Roman" w:cs="Times New Roman"/>
                <w:color w:val="auto"/>
                <w:sz w:val="24"/>
                <w:szCs w:val="24"/>
                <w:lang w:eastAsia="zh-CN"/>
              </w:rPr>
              <w:t>一期</w:t>
            </w:r>
            <w:r>
              <w:rPr>
                <w:rFonts w:hint="eastAsia" w:ascii="宋体" w:hAnsi="宋体" w:eastAsia="宋体"/>
                <w:color w:val="auto"/>
                <w:sz w:val="24"/>
              </w:rPr>
              <w:t>工程施工完成后及时对临时占地进行平整，按原地貌进行恢复或者绿化，将有利于改善局部环境，对区域生态环境也无明显影响。</w:t>
            </w:r>
          </w:p>
          <w:p>
            <w:pPr>
              <w:tabs>
                <w:tab w:val="left" w:pos="2640"/>
              </w:tabs>
              <w:adjustRightInd w:val="0"/>
              <w:snapToGrid w:val="0"/>
              <w:spacing w:line="360" w:lineRule="auto"/>
              <w:rPr>
                <w:rFonts w:ascii="Times New Roman" w:hAnsi="Times New Roman" w:cs="Times New Roman"/>
                <w:b/>
                <w:bCs/>
                <w:color w:val="auto"/>
                <w:sz w:val="24"/>
                <w:szCs w:val="24"/>
                <w:u w:val="thick"/>
              </w:rPr>
            </w:pPr>
            <w:r>
              <w:rPr>
                <w:rFonts w:hint="eastAsia" w:ascii="Times New Roman" w:hAnsi="Times New Roman" w:cs="Times New Roman"/>
                <w:b/>
                <w:bCs/>
                <w:color w:val="auto"/>
                <w:sz w:val="24"/>
                <w:szCs w:val="24"/>
                <w:u w:val="thick"/>
                <w:lang w:eastAsia="zh-CN"/>
              </w:rPr>
              <w:t>二期</w:t>
            </w:r>
            <w:r>
              <w:rPr>
                <w:rFonts w:hint="eastAsia" w:ascii="Times New Roman" w:hAnsi="Times New Roman" w:cs="Times New Roman"/>
                <w:b/>
                <w:bCs/>
                <w:color w:val="auto"/>
                <w:sz w:val="24"/>
                <w:szCs w:val="24"/>
                <w:u w:val="thick"/>
              </w:rPr>
              <w:t>施工期污染</w:t>
            </w:r>
            <w:r>
              <w:rPr>
                <w:rFonts w:hint="eastAsia" w:ascii="Times New Roman" w:hAnsi="Times New Roman" w:cs="Times New Roman"/>
                <w:b/>
                <w:bCs/>
                <w:color w:val="auto"/>
                <w:sz w:val="24"/>
                <w:szCs w:val="24"/>
                <w:u w:val="thick"/>
                <w:lang w:eastAsia="zh-CN"/>
              </w:rPr>
              <w:t>：</w:t>
            </w:r>
          </w:p>
          <w:p>
            <w:pPr>
              <w:tabs>
                <w:tab w:val="left" w:pos="2640"/>
              </w:tabs>
              <w:adjustRightInd w:val="0"/>
              <w:snapToGrid w:val="0"/>
              <w:spacing w:line="360" w:lineRule="auto"/>
              <w:ind w:firstLine="482" w:firstLineChars="200"/>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1、废气</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项目</w:t>
            </w:r>
            <w:r>
              <w:rPr>
                <w:rFonts w:hint="eastAsia" w:ascii="Times New Roman" w:hAnsi="Times New Roman" w:cs="Times New Roman"/>
                <w:color w:val="auto"/>
                <w:sz w:val="24"/>
                <w:szCs w:val="24"/>
                <w:lang w:eastAsia="zh-CN"/>
              </w:rPr>
              <w:t>二期</w:t>
            </w:r>
            <w:r>
              <w:rPr>
                <w:rFonts w:hint="eastAsia" w:ascii="Times New Roman" w:hAnsi="Times New Roman" w:cs="Times New Roman"/>
                <w:color w:val="auto"/>
                <w:sz w:val="24"/>
                <w:szCs w:val="24"/>
              </w:rPr>
              <w:t>施工期产生的大气污染主要来自挖出的淤泥产生的恶臭、车辆行驶过程中车辆的尾气、运输路上携带起的扬尘等。</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①恶臭</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恶臭主要产生于清淤过程中。由于含有有机物腐殖的污染底泥，在受到扰动和推置于地面时，其中含有的恶臭物质（主要为氨、硫化氢等）将呈无组织状态释放，从而对周围环境产生较为不利的影响。</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②扬尘</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lang w:eastAsia="zh-CN"/>
              </w:rPr>
              <w:t>施工及运输</w:t>
            </w:r>
            <w:r>
              <w:rPr>
                <w:rFonts w:hint="eastAsia" w:ascii="Times New Roman" w:hAnsi="Times New Roman" w:cs="Times New Roman"/>
                <w:color w:val="auto"/>
                <w:sz w:val="24"/>
                <w:szCs w:val="24"/>
              </w:rPr>
              <w:t>车辆行驶过程路上携带起的扬尘以及施工作业过程中产生的扬尘对施工现场局部区域产生TSP污染，其污染范围和程度与施工工艺、施工管理及气象条件等多种因素有关，先进的施工工艺和科学的施工管理，可基本将TSP污染范围控制在施工界内区域。</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③</w:t>
            </w:r>
            <w:r>
              <w:rPr>
                <w:rFonts w:hint="eastAsia" w:ascii="Times New Roman" w:hAnsi="Times New Roman" w:cs="Times New Roman"/>
                <w:color w:val="auto"/>
                <w:sz w:val="24"/>
                <w:szCs w:val="24"/>
                <w:lang w:eastAsia="zh-CN"/>
              </w:rPr>
              <w:t>施工及运输</w:t>
            </w:r>
            <w:r>
              <w:rPr>
                <w:rFonts w:hint="eastAsia" w:ascii="Times New Roman" w:hAnsi="Times New Roman" w:cs="Times New Roman"/>
                <w:color w:val="auto"/>
                <w:sz w:val="24"/>
                <w:szCs w:val="24"/>
              </w:rPr>
              <w:t>设备尾气</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主要为施工设施排放的废气，主要污染物有CO、NO</w:t>
            </w:r>
            <w:r>
              <w:rPr>
                <w:rFonts w:hint="eastAsia" w:ascii="Times New Roman" w:hAnsi="Times New Roman" w:cs="Times New Roman"/>
                <w:color w:val="auto"/>
                <w:sz w:val="24"/>
                <w:szCs w:val="24"/>
                <w:vertAlign w:val="subscript"/>
              </w:rPr>
              <w:t>2</w:t>
            </w:r>
            <w:r>
              <w:rPr>
                <w:rFonts w:hint="eastAsia" w:ascii="Times New Roman" w:hAnsi="Times New Roman" w:cs="Times New Roman"/>
                <w:color w:val="auto"/>
                <w:sz w:val="24"/>
                <w:szCs w:val="24"/>
              </w:rPr>
              <w:t>、THC等。污染源为无组织排放，点源分散，其中运输车辆的流动性较大，尾气的排放特征与面源相似。但总的排放量不大，根据类似工程分析数据，CO、NO</w:t>
            </w:r>
            <w:r>
              <w:rPr>
                <w:rFonts w:hint="eastAsia" w:ascii="Times New Roman" w:hAnsi="Times New Roman" w:cs="Times New Roman"/>
                <w:color w:val="auto"/>
                <w:sz w:val="24"/>
                <w:szCs w:val="24"/>
                <w:vertAlign w:val="subscript"/>
              </w:rPr>
              <w:t>2</w:t>
            </w:r>
            <w:r>
              <w:rPr>
                <w:rFonts w:hint="eastAsia" w:ascii="Times New Roman" w:hAnsi="Times New Roman" w:cs="Times New Roman"/>
                <w:color w:val="auto"/>
                <w:sz w:val="24"/>
                <w:szCs w:val="24"/>
              </w:rPr>
              <w:t>、THC浓度一般低于允许排放浓度，对施工人员的影响很小。</w:t>
            </w:r>
          </w:p>
          <w:p>
            <w:pPr>
              <w:tabs>
                <w:tab w:val="left" w:pos="2640"/>
              </w:tabs>
              <w:adjustRightInd w:val="0"/>
              <w:snapToGrid w:val="0"/>
              <w:spacing w:line="360" w:lineRule="auto"/>
              <w:ind w:firstLine="482" w:firstLineChars="200"/>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2、废水</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项目</w:t>
            </w:r>
            <w:r>
              <w:rPr>
                <w:rFonts w:hint="eastAsia" w:ascii="Times New Roman" w:hAnsi="Times New Roman" w:cs="Times New Roman"/>
                <w:color w:val="auto"/>
                <w:sz w:val="24"/>
                <w:szCs w:val="24"/>
                <w:lang w:eastAsia="zh-CN"/>
              </w:rPr>
              <w:t>二期</w:t>
            </w:r>
            <w:r>
              <w:rPr>
                <w:rFonts w:hint="eastAsia" w:ascii="Times New Roman" w:hAnsi="Times New Roman" w:cs="Times New Roman"/>
                <w:color w:val="auto"/>
                <w:sz w:val="24"/>
                <w:szCs w:val="24"/>
              </w:rPr>
              <w:t>施工期废水主要包括施工人员的生活污水、施工过程产生的废水。</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①生活污水</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lang w:eastAsia="zh-CN"/>
              </w:rPr>
              <w:t>二期</w:t>
            </w:r>
            <w:r>
              <w:rPr>
                <w:rFonts w:hint="eastAsia" w:ascii="Times New Roman" w:hAnsi="Times New Roman" w:cs="Times New Roman"/>
                <w:color w:val="auto"/>
                <w:sz w:val="24"/>
                <w:szCs w:val="24"/>
              </w:rPr>
              <w:t>建设，共</w:t>
            </w:r>
            <w:r>
              <w:rPr>
                <w:rFonts w:hint="eastAsia" w:ascii="Times New Roman" w:hAnsi="Times New Roman" w:cs="Times New Roman"/>
                <w:color w:val="auto"/>
                <w:sz w:val="24"/>
                <w:szCs w:val="24"/>
                <w:lang w:val="en-US" w:eastAsia="zh-CN"/>
              </w:rPr>
              <w:t>7</w:t>
            </w:r>
            <w:r>
              <w:rPr>
                <w:rFonts w:hint="eastAsia" w:ascii="Times New Roman" w:hAnsi="Times New Roman" w:cs="Times New Roman"/>
                <w:color w:val="auto"/>
                <w:sz w:val="24"/>
                <w:szCs w:val="24"/>
              </w:rPr>
              <w:t>个月（按</w:t>
            </w:r>
            <w:r>
              <w:rPr>
                <w:rFonts w:hint="eastAsia" w:ascii="Times New Roman" w:hAnsi="Times New Roman" w:cs="Times New Roman"/>
                <w:color w:val="auto"/>
                <w:sz w:val="24"/>
                <w:szCs w:val="24"/>
                <w:lang w:val="en-US" w:eastAsia="zh-CN"/>
              </w:rPr>
              <w:t>140</w:t>
            </w:r>
            <w:r>
              <w:rPr>
                <w:rFonts w:hint="eastAsia" w:ascii="Times New Roman" w:hAnsi="Times New Roman" w:cs="Times New Roman"/>
                <w:color w:val="auto"/>
                <w:sz w:val="24"/>
                <w:szCs w:val="24"/>
              </w:rPr>
              <w:t>天计），施工人员最高日按35人计，生活用水量按50L/人·d计（《给排水设计手册》），则生活用水量为1.75m</w:t>
            </w:r>
            <w:r>
              <w:rPr>
                <w:rFonts w:hint="eastAsia" w:ascii="Times New Roman" w:hAnsi="Times New Roman" w:cs="Times New Roman"/>
                <w:color w:val="auto"/>
                <w:sz w:val="24"/>
                <w:szCs w:val="24"/>
                <w:vertAlign w:val="superscript"/>
              </w:rPr>
              <w:t>3</w:t>
            </w:r>
            <w:r>
              <w:rPr>
                <w:rFonts w:hint="eastAsia" w:ascii="Times New Roman" w:hAnsi="Times New Roman" w:cs="Times New Roman"/>
                <w:color w:val="auto"/>
                <w:sz w:val="24"/>
                <w:szCs w:val="24"/>
              </w:rPr>
              <w:t>/d。生活污水的排放量按用水量的80%计，则生活污水的排放量为1.4m</w:t>
            </w:r>
            <w:r>
              <w:rPr>
                <w:rFonts w:hint="eastAsia" w:ascii="Times New Roman" w:hAnsi="Times New Roman" w:cs="Times New Roman"/>
                <w:color w:val="auto"/>
                <w:sz w:val="24"/>
                <w:szCs w:val="24"/>
                <w:vertAlign w:val="superscript"/>
              </w:rPr>
              <w:t>3</w:t>
            </w:r>
            <w:r>
              <w:rPr>
                <w:rFonts w:hint="eastAsia" w:ascii="Times New Roman" w:hAnsi="Times New Roman" w:cs="Times New Roman"/>
                <w:color w:val="auto"/>
                <w:sz w:val="24"/>
                <w:szCs w:val="24"/>
              </w:rPr>
              <w:t>/d，施工期生活污水排放量约</w:t>
            </w:r>
            <w:r>
              <w:rPr>
                <w:rFonts w:hint="eastAsia" w:ascii="Times New Roman" w:hAnsi="Times New Roman" w:cs="Times New Roman"/>
                <w:color w:val="auto"/>
                <w:sz w:val="24"/>
                <w:szCs w:val="24"/>
                <w:lang w:val="en-US" w:eastAsia="zh-CN"/>
              </w:rPr>
              <w:t>196</w:t>
            </w:r>
            <w:r>
              <w:rPr>
                <w:rFonts w:hint="eastAsia" w:ascii="Times New Roman" w:hAnsi="Times New Roman" w:cs="Times New Roman"/>
                <w:color w:val="auto"/>
                <w:sz w:val="24"/>
                <w:szCs w:val="24"/>
              </w:rPr>
              <w:t>m</w:t>
            </w:r>
            <w:r>
              <w:rPr>
                <w:rFonts w:hint="eastAsia" w:ascii="Times New Roman" w:hAnsi="Times New Roman" w:cs="Times New Roman"/>
                <w:color w:val="auto"/>
                <w:sz w:val="24"/>
                <w:szCs w:val="24"/>
                <w:vertAlign w:val="superscript"/>
              </w:rPr>
              <w:t>3</w:t>
            </w:r>
            <w:r>
              <w:rPr>
                <w:rFonts w:hint="eastAsia" w:ascii="Times New Roman" w:hAnsi="Times New Roman" w:cs="Times New Roman"/>
                <w:color w:val="auto"/>
                <w:sz w:val="24"/>
                <w:szCs w:val="24"/>
              </w:rPr>
              <w:t>。</w:t>
            </w:r>
          </w:p>
          <w:p>
            <w:pPr>
              <w:tabs>
                <w:tab w:val="left" w:pos="2640"/>
              </w:tabs>
              <w:adjustRightInd w:val="0"/>
              <w:snapToGrid w:val="0"/>
              <w:jc w:val="center"/>
              <w:rPr>
                <w:rFonts w:ascii="Times New Roman" w:hAnsi="Times New Roman" w:cs="Times New Roman"/>
                <w:b/>
                <w:bCs/>
                <w:color w:val="FF0000"/>
                <w:sz w:val="24"/>
                <w:szCs w:val="24"/>
              </w:rPr>
            </w:pPr>
            <w:r>
              <w:rPr>
                <w:rFonts w:hint="eastAsia" w:ascii="Times New Roman" w:hAnsi="Times New Roman" w:cs="Times New Roman"/>
                <w:b/>
                <w:bCs/>
                <w:color w:val="FF0000"/>
                <w:sz w:val="24"/>
                <w:szCs w:val="24"/>
              </w:rPr>
              <w:t>表5-</w:t>
            </w:r>
            <w:r>
              <w:rPr>
                <w:rFonts w:hint="eastAsia" w:ascii="Times New Roman" w:hAnsi="Times New Roman" w:cs="Times New Roman"/>
                <w:b/>
                <w:bCs/>
                <w:color w:val="FF0000"/>
                <w:sz w:val="24"/>
                <w:szCs w:val="24"/>
                <w:lang w:val="en-US" w:eastAsia="zh-CN"/>
              </w:rPr>
              <w:t>3</w:t>
            </w:r>
            <w:r>
              <w:rPr>
                <w:rFonts w:hint="eastAsia" w:ascii="Times New Roman" w:hAnsi="Times New Roman" w:cs="Times New Roman"/>
                <w:b/>
                <w:bCs/>
                <w:color w:val="FF0000"/>
                <w:sz w:val="24"/>
                <w:szCs w:val="24"/>
              </w:rPr>
              <w:t xml:space="preserve">  </w:t>
            </w:r>
            <w:r>
              <w:rPr>
                <w:rFonts w:hint="eastAsia" w:ascii="Times New Roman" w:hAnsi="Times New Roman" w:cs="Times New Roman"/>
                <w:b/>
                <w:bCs/>
                <w:color w:val="FF0000"/>
                <w:sz w:val="24"/>
                <w:szCs w:val="24"/>
                <w:lang w:eastAsia="zh-CN"/>
              </w:rPr>
              <w:t>二期</w:t>
            </w:r>
            <w:r>
              <w:rPr>
                <w:rFonts w:hint="eastAsia" w:ascii="Times New Roman" w:hAnsi="Times New Roman" w:cs="Times New Roman"/>
                <w:b/>
                <w:bCs/>
                <w:color w:val="FF0000"/>
                <w:sz w:val="24"/>
                <w:szCs w:val="24"/>
              </w:rPr>
              <w:t>施工期废水产排情况一览表</w:t>
            </w:r>
          </w:p>
          <w:tbl>
            <w:tblPr>
              <w:tblStyle w:val="17"/>
              <w:tblW w:w="876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6"/>
              <w:gridCol w:w="737"/>
              <w:gridCol w:w="838"/>
              <w:gridCol w:w="1075"/>
              <w:gridCol w:w="800"/>
              <w:gridCol w:w="725"/>
              <w:gridCol w:w="1062"/>
              <w:gridCol w:w="863"/>
              <w:gridCol w:w="1062"/>
              <w:gridCol w:w="95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46" w:type="dxa"/>
                  <w:tcBorders>
                    <w:tl2br w:val="nil"/>
                    <w:tr2bl w:val="nil"/>
                  </w:tcBorders>
                  <w:vAlign w:val="center"/>
                </w:tcPr>
                <w:p>
                  <w:pPr>
                    <w:tabs>
                      <w:tab w:val="left" w:pos="2640"/>
                    </w:tabs>
                    <w:adjustRightInd w:val="0"/>
                    <w:snapToGrid w:val="0"/>
                    <w:jc w:val="center"/>
                    <w:rPr>
                      <w:rFonts w:ascii="Times New Roman" w:hAnsi="Times New Roman" w:cs="Times New Roman"/>
                      <w:b/>
                      <w:bCs/>
                      <w:color w:val="FF0000"/>
                      <w:szCs w:val="21"/>
                    </w:rPr>
                  </w:pPr>
                  <w:r>
                    <w:rPr>
                      <w:rFonts w:hint="eastAsia" w:ascii="Times New Roman" w:hAnsi="Times New Roman" w:cs="Times New Roman"/>
                      <w:b/>
                      <w:bCs/>
                      <w:color w:val="FF0000"/>
                      <w:szCs w:val="21"/>
                    </w:rPr>
                    <w:t>项目</w:t>
                  </w:r>
                </w:p>
              </w:tc>
              <w:tc>
                <w:tcPr>
                  <w:tcW w:w="737" w:type="dxa"/>
                  <w:tcBorders>
                    <w:tl2br w:val="nil"/>
                    <w:tr2bl w:val="nil"/>
                  </w:tcBorders>
                  <w:vAlign w:val="center"/>
                </w:tcPr>
                <w:p>
                  <w:pPr>
                    <w:tabs>
                      <w:tab w:val="left" w:pos="2640"/>
                    </w:tabs>
                    <w:adjustRightInd w:val="0"/>
                    <w:snapToGrid w:val="0"/>
                    <w:jc w:val="center"/>
                    <w:rPr>
                      <w:rFonts w:ascii="Times New Roman" w:hAnsi="Times New Roman" w:cs="Times New Roman"/>
                      <w:b/>
                      <w:bCs/>
                      <w:color w:val="FF0000"/>
                      <w:szCs w:val="21"/>
                    </w:rPr>
                  </w:pPr>
                  <w:r>
                    <w:rPr>
                      <w:rFonts w:hint="eastAsia" w:ascii="Times New Roman" w:hAnsi="Times New Roman" w:cs="Times New Roman"/>
                      <w:b/>
                      <w:bCs/>
                      <w:color w:val="FF0000"/>
                      <w:szCs w:val="21"/>
                    </w:rPr>
                    <w:t>废水量（t）</w:t>
                  </w:r>
                </w:p>
              </w:tc>
              <w:tc>
                <w:tcPr>
                  <w:tcW w:w="838" w:type="dxa"/>
                  <w:tcBorders>
                    <w:tl2br w:val="nil"/>
                    <w:tr2bl w:val="nil"/>
                  </w:tcBorders>
                  <w:vAlign w:val="center"/>
                </w:tcPr>
                <w:p>
                  <w:pPr>
                    <w:tabs>
                      <w:tab w:val="left" w:pos="2640"/>
                    </w:tabs>
                    <w:adjustRightInd w:val="0"/>
                    <w:snapToGrid w:val="0"/>
                    <w:jc w:val="center"/>
                    <w:rPr>
                      <w:rFonts w:ascii="Times New Roman" w:hAnsi="Times New Roman" w:cs="Times New Roman"/>
                      <w:b/>
                      <w:bCs/>
                      <w:color w:val="FF0000"/>
                      <w:szCs w:val="21"/>
                    </w:rPr>
                  </w:pPr>
                  <w:r>
                    <w:rPr>
                      <w:rFonts w:hint="eastAsia" w:ascii="Times New Roman" w:hAnsi="Times New Roman" w:cs="Times New Roman"/>
                      <w:b/>
                      <w:bCs/>
                      <w:color w:val="FF0000"/>
                      <w:szCs w:val="21"/>
                    </w:rPr>
                    <w:t>污染因子</w:t>
                  </w:r>
                </w:p>
              </w:tc>
              <w:tc>
                <w:tcPr>
                  <w:tcW w:w="1075" w:type="dxa"/>
                  <w:tcBorders>
                    <w:tl2br w:val="nil"/>
                    <w:tr2bl w:val="nil"/>
                  </w:tcBorders>
                  <w:vAlign w:val="center"/>
                </w:tcPr>
                <w:p>
                  <w:pPr>
                    <w:tabs>
                      <w:tab w:val="left" w:pos="2640"/>
                    </w:tabs>
                    <w:adjustRightInd w:val="0"/>
                    <w:snapToGrid w:val="0"/>
                    <w:jc w:val="center"/>
                    <w:rPr>
                      <w:rFonts w:ascii="Times New Roman" w:hAnsi="Times New Roman" w:cs="Times New Roman"/>
                      <w:b/>
                      <w:bCs/>
                      <w:color w:val="FF0000"/>
                      <w:szCs w:val="21"/>
                    </w:rPr>
                  </w:pPr>
                  <w:r>
                    <w:rPr>
                      <w:rFonts w:hint="eastAsia" w:ascii="Times New Roman" w:hAnsi="Times New Roman" w:cs="Times New Roman"/>
                      <w:b/>
                      <w:bCs/>
                      <w:color w:val="FF0000"/>
                      <w:szCs w:val="21"/>
                    </w:rPr>
                    <w:t>产生浓度（mg/L）</w:t>
                  </w:r>
                </w:p>
              </w:tc>
              <w:tc>
                <w:tcPr>
                  <w:tcW w:w="800" w:type="dxa"/>
                  <w:tcBorders>
                    <w:tl2br w:val="nil"/>
                    <w:tr2bl w:val="nil"/>
                  </w:tcBorders>
                  <w:vAlign w:val="center"/>
                </w:tcPr>
                <w:p>
                  <w:pPr>
                    <w:tabs>
                      <w:tab w:val="left" w:pos="2640"/>
                    </w:tabs>
                    <w:adjustRightInd w:val="0"/>
                    <w:snapToGrid w:val="0"/>
                    <w:jc w:val="center"/>
                    <w:rPr>
                      <w:rFonts w:ascii="Times New Roman" w:hAnsi="Times New Roman" w:cs="Times New Roman"/>
                      <w:b/>
                      <w:bCs/>
                      <w:color w:val="FF0000"/>
                      <w:szCs w:val="21"/>
                    </w:rPr>
                  </w:pPr>
                  <w:r>
                    <w:rPr>
                      <w:rFonts w:hint="eastAsia" w:ascii="Times New Roman" w:hAnsi="Times New Roman" w:cs="Times New Roman"/>
                      <w:b/>
                      <w:bCs/>
                      <w:color w:val="FF0000"/>
                      <w:szCs w:val="21"/>
                    </w:rPr>
                    <w:t>产生量（t）</w:t>
                  </w:r>
                </w:p>
              </w:tc>
              <w:tc>
                <w:tcPr>
                  <w:tcW w:w="725" w:type="dxa"/>
                  <w:tcBorders>
                    <w:tl2br w:val="nil"/>
                    <w:tr2bl w:val="nil"/>
                  </w:tcBorders>
                  <w:vAlign w:val="center"/>
                </w:tcPr>
                <w:p>
                  <w:pPr>
                    <w:tabs>
                      <w:tab w:val="left" w:pos="2640"/>
                    </w:tabs>
                    <w:adjustRightInd w:val="0"/>
                    <w:snapToGrid w:val="0"/>
                    <w:jc w:val="center"/>
                    <w:rPr>
                      <w:rFonts w:ascii="Times New Roman" w:hAnsi="Times New Roman" w:cs="Times New Roman"/>
                      <w:b/>
                      <w:bCs/>
                      <w:color w:val="FF0000"/>
                      <w:szCs w:val="21"/>
                    </w:rPr>
                  </w:pPr>
                  <w:r>
                    <w:rPr>
                      <w:rFonts w:hint="eastAsia" w:ascii="Times New Roman" w:hAnsi="Times New Roman" w:cs="Times New Roman"/>
                      <w:b/>
                      <w:bCs/>
                      <w:color w:val="FF0000"/>
                      <w:szCs w:val="21"/>
                    </w:rPr>
                    <w:t>处理措施</w:t>
                  </w:r>
                </w:p>
              </w:tc>
              <w:tc>
                <w:tcPr>
                  <w:tcW w:w="1062" w:type="dxa"/>
                  <w:tcBorders>
                    <w:tl2br w:val="nil"/>
                    <w:tr2bl w:val="nil"/>
                  </w:tcBorders>
                  <w:vAlign w:val="center"/>
                </w:tcPr>
                <w:p>
                  <w:pPr>
                    <w:tabs>
                      <w:tab w:val="left" w:pos="2640"/>
                    </w:tabs>
                    <w:adjustRightInd w:val="0"/>
                    <w:snapToGrid w:val="0"/>
                    <w:jc w:val="center"/>
                    <w:rPr>
                      <w:rFonts w:ascii="Times New Roman" w:hAnsi="Times New Roman" w:cs="Times New Roman"/>
                      <w:b/>
                      <w:bCs/>
                      <w:color w:val="FF0000"/>
                      <w:szCs w:val="21"/>
                    </w:rPr>
                  </w:pPr>
                  <w:r>
                    <w:rPr>
                      <w:rFonts w:hint="eastAsia" w:ascii="Times New Roman" w:hAnsi="Times New Roman" w:cs="Times New Roman"/>
                      <w:b/>
                      <w:bCs/>
                      <w:color w:val="FF0000"/>
                      <w:szCs w:val="21"/>
                    </w:rPr>
                    <w:t>接管浓度（mg/L）</w:t>
                  </w:r>
                </w:p>
              </w:tc>
              <w:tc>
                <w:tcPr>
                  <w:tcW w:w="863" w:type="dxa"/>
                  <w:tcBorders>
                    <w:tl2br w:val="nil"/>
                    <w:tr2bl w:val="nil"/>
                  </w:tcBorders>
                  <w:vAlign w:val="center"/>
                </w:tcPr>
                <w:p>
                  <w:pPr>
                    <w:tabs>
                      <w:tab w:val="left" w:pos="2640"/>
                    </w:tabs>
                    <w:adjustRightInd w:val="0"/>
                    <w:snapToGrid w:val="0"/>
                    <w:jc w:val="center"/>
                    <w:rPr>
                      <w:rFonts w:ascii="Times New Roman" w:hAnsi="Times New Roman" w:cs="Times New Roman"/>
                      <w:b/>
                      <w:bCs/>
                      <w:color w:val="FF0000"/>
                      <w:szCs w:val="21"/>
                    </w:rPr>
                  </w:pPr>
                  <w:r>
                    <w:rPr>
                      <w:rFonts w:hint="eastAsia" w:ascii="Times New Roman" w:hAnsi="Times New Roman" w:cs="Times New Roman"/>
                      <w:b/>
                      <w:bCs/>
                      <w:color w:val="FF0000"/>
                      <w:szCs w:val="21"/>
                    </w:rPr>
                    <w:t>接管量（t）</w:t>
                  </w:r>
                </w:p>
              </w:tc>
              <w:tc>
                <w:tcPr>
                  <w:tcW w:w="1062" w:type="dxa"/>
                  <w:tcBorders>
                    <w:tl2br w:val="nil"/>
                    <w:tr2bl w:val="nil"/>
                  </w:tcBorders>
                  <w:vAlign w:val="center"/>
                </w:tcPr>
                <w:p>
                  <w:pPr>
                    <w:tabs>
                      <w:tab w:val="left" w:pos="2640"/>
                    </w:tabs>
                    <w:adjustRightInd w:val="0"/>
                    <w:snapToGrid w:val="0"/>
                    <w:jc w:val="center"/>
                    <w:rPr>
                      <w:rFonts w:ascii="Times New Roman" w:hAnsi="Times New Roman" w:cs="Times New Roman"/>
                      <w:b/>
                      <w:bCs/>
                      <w:color w:val="FF0000"/>
                      <w:szCs w:val="21"/>
                    </w:rPr>
                  </w:pPr>
                  <w:r>
                    <w:rPr>
                      <w:rFonts w:hint="eastAsia" w:ascii="Times New Roman" w:hAnsi="Times New Roman" w:cs="Times New Roman"/>
                      <w:b/>
                      <w:bCs/>
                      <w:color w:val="FF0000"/>
                      <w:szCs w:val="21"/>
                    </w:rPr>
                    <w:t>排放浓度（mg/L）</w:t>
                  </w:r>
                </w:p>
              </w:tc>
              <w:tc>
                <w:tcPr>
                  <w:tcW w:w="956" w:type="dxa"/>
                  <w:tcBorders>
                    <w:tl2br w:val="nil"/>
                    <w:tr2bl w:val="nil"/>
                  </w:tcBorders>
                  <w:vAlign w:val="center"/>
                </w:tcPr>
                <w:p>
                  <w:pPr>
                    <w:tabs>
                      <w:tab w:val="left" w:pos="2640"/>
                    </w:tabs>
                    <w:adjustRightInd w:val="0"/>
                    <w:snapToGrid w:val="0"/>
                    <w:jc w:val="center"/>
                    <w:rPr>
                      <w:rFonts w:ascii="Times New Roman" w:hAnsi="Times New Roman" w:cs="Times New Roman"/>
                      <w:b/>
                      <w:bCs/>
                      <w:color w:val="FF0000"/>
                      <w:szCs w:val="21"/>
                    </w:rPr>
                  </w:pPr>
                  <w:r>
                    <w:rPr>
                      <w:rFonts w:hint="eastAsia" w:ascii="Times New Roman" w:hAnsi="Times New Roman" w:cs="Times New Roman"/>
                      <w:b/>
                      <w:bCs/>
                      <w:color w:val="FF0000"/>
                      <w:szCs w:val="21"/>
                    </w:rPr>
                    <w:t>排放量（t）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46" w:type="dxa"/>
                  <w:vMerge w:val="restart"/>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生活污水</w:t>
                  </w:r>
                </w:p>
              </w:tc>
              <w:tc>
                <w:tcPr>
                  <w:tcW w:w="737" w:type="dxa"/>
                  <w:vMerge w:val="restart"/>
                  <w:tcBorders>
                    <w:tl2br w:val="nil"/>
                    <w:tr2bl w:val="nil"/>
                  </w:tcBorders>
                  <w:vAlign w:val="center"/>
                </w:tcPr>
                <w:p>
                  <w:pPr>
                    <w:tabs>
                      <w:tab w:val="left" w:pos="2640"/>
                    </w:tabs>
                    <w:adjustRightInd w:val="0"/>
                    <w:snapToGrid w:val="0"/>
                    <w:jc w:val="center"/>
                    <w:rPr>
                      <w:rFonts w:hint="eastAsia" w:ascii="Times New Roman" w:hAnsi="Times New Roman" w:cs="Times New Roman" w:eastAsiaTheme="minorEastAsia"/>
                      <w:color w:val="FF0000"/>
                      <w:szCs w:val="21"/>
                      <w:lang w:eastAsia="zh-CN"/>
                    </w:rPr>
                  </w:pPr>
                  <w:r>
                    <w:rPr>
                      <w:rFonts w:hint="eastAsia" w:ascii="Times New Roman" w:hAnsi="Times New Roman" w:cs="Times New Roman"/>
                      <w:color w:val="FF0000"/>
                      <w:szCs w:val="21"/>
                      <w:lang w:val="en-US" w:eastAsia="zh-CN"/>
                    </w:rPr>
                    <w:t>196</w:t>
                  </w:r>
                </w:p>
              </w:tc>
              <w:tc>
                <w:tcPr>
                  <w:tcW w:w="838" w:type="dxa"/>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COD</w:t>
                  </w:r>
                </w:p>
              </w:tc>
              <w:tc>
                <w:tcPr>
                  <w:tcW w:w="1075" w:type="dxa"/>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300</w:t>
                  </w:r>
                </w:p>
              </w:tc>
              <w:tc>
                <w:tcPr>
                  <w:tcW w:w="800" w:type="dxa"/>
                  <w:tcBorders>
                    <w:tl2br w:val="nil"/>
                    <w:tr2bl w:val="nil"/>
                  </w:tcBorders>
                  <w:vAlign w:val="center"/>
                </w:tcPr>
                <w:p>
                  <w:pPr>
                    <w:tabs>
                      <w:tab w:val="left" w:pos="2640"/>
                    </w:tabs>
                    <w:adjustRightInd w:val="0"/>
                    <w:snapToGrid w:val="0"/>
                    <w:jc w:val="center"/>
                    <w:rPr>
                      <w:rFonts w:hint="eastAsia"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0.589</w:t>
                  </w:r>
                </w:p>
              </w:tc>
              <w:tc>
                <w:tcPr>
                  <w:tcW w:w="725" w:type="dxa"/>
                  <w:vMerge w:val="restart"/>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就近原有卫生设施</w:t>
                  </w:r>
                </w:p>
              </w:tc>
              <w:tc>
                <w:tcPr>
                  <w:tcW w:w="1062" w:type="dxa"/>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300</w:t>
                  </w:r>
                </w:p>
              </w:tc>
              <w:tc>
                <w:tcPr>
                  <w:tcW w:w="863" w:type="dxa"/>
                  <w:tcBorders>
                    <w:tl2br w:val="nil"/>
                    <w:tr2bl w:val="nil"/>
                  </w:tcBorders>
                  <w:vAlign w:val="center"/>
                </w:tcPr>
                <w:p>
                  <w:pPr>
                    <w:tabs>
                      <w:tab w:val="left" w:pos="2640"/>
                    </w:tabs>
                    <w:adjustRightInd w:val="0"/>
                    <w:snapToGrid w:val="0"/>
                    <w:jc w:val="center"/>
                    <w:rPr>
                      <w:rFonts w:hint="eastAsia"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0.059</w:t>
                  </w:r>
                </w:p>
              </w:tc>
              <w:tc>
                <w:tcPr>
                  <w:tcW w:w="1062" w:type="dxa"/>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50</w:t>
                  </w:r>
                </w:p>
              </w:tc>
              <w:tc>
                <w:tcPr>
                  <w:tcW w:w="956" w:type="dxa"/>
                  <w:tcBorders>
                    <w:tl2br w:val="nil"/>
                    <w:tr2bl w:val="nil"/>
                  </w:tcBorders>
                  <w:vAlign w:val="center"/>
                </w:tcPr>
                <w:p>
                  <w:pPr>
                    <w:tabs>
                      <w:tab w:val="left" w:pos="2640"/>
                    </w:tabs>
                    <w:adjustRightInd w:val="0"/>
                    <w:snapToGrid w:val="0"/>
                    <w:jc w:val="center"/>
                    <w:rPr>
                      <w:rFonts w:hint="eastAsia"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0.010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46"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737"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838" w:type="dxa"/>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SS</w:t>
                  </w:r>
                </w:p>
              </w:tc>
              <w:tc>
                <w:tcPr>
                  <w:tcW w:w="1075" w:type="dxa"/>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250</w:t>
                  </w:r>
                </w:p>
              </w:tc>
              <w:tc>
                <w:tcPr>
                  <w:tcW w:w="800" w:type="dxa"/>
                  <w:tcBorders>
                    <w:tl2br w:val="nil"/>
                    <w:tr2bl w:val="nil"/>
                  </w:tcBorders>
                  <w:vAlign w:val="center"/>
                </w:tcPr>
                <w:p>
                  <w:pPr>
                    <w:tabs>
                      <w:tab w:val="left" w:pos="2640"/>
                    </w:tabs>
                    <w:adjustRightInd w:val="0"/>
                    <w:snapToGrid w:val="0"/>
                    <w:jc w:val="center"/>
                    <w:rPr>
                      <w:rFonts w:hint="eastAsia" w:ascii="Times New Roman" w:hAnsi="Times New Roman" w:cs="Times New Roman"/>
                      <w:color w:val="FF0000"/>
                      <w:szCs w:val="21"/>
                      <w:lang w:val="en-US" w:eastAsia="zh-CN"/>
                    </w:rPr>
                  </w:pPr>
                  <w:r>
                    <w:rPr>
                      <w:rFonts w:hint="eastAsia" w:ascii="Times New Roman" w:hAnsi="Times New Roman" w:cs="Times New Roman"/>
                      <w:color w:val="FF0000"/>
                      <w:szCs w:val="21"/>
                      <w:lang w:val="en-US" w:eastAsia="zh-CN"/>
                    </w:rPr>
                    <w:t>0.049</w:t>
                  </w:r>
                </w:p>
              </w:tc>
              <w:tc>
                <w:tcPr>
                  <w:tcW w:w="725"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1062" w:type="dxa"/>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200</w:t>
                  </w:r>
                </w:p>
              </w:tc>
              <w:tc>
                <w:tcPr>
                  <w:tcW w:w="863" w:type="dxa"/>
                  <w:tcBorders>
                    <w:tl2br w:val="nil"/>
                    <w:tr2bl w:val="nil"/>
                  </w:tcBorders>
                  <w:vAlign w:val="center"/>
                </w:tcPr>
                <w:p>
                  <w:pPr>
                    <w:tabs>
                      <w:tab w:val="left" w:pos="2640"/>
                    </w:tabs>
                    <w:adjustRightInd w:val="0"/>
                    <w:snapToGrid w:val="0"/>
                    <w:jc w:val="center"/>
                    <w:rPr>
                      <w:rFonts w:hint="eastAsia"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0.039</w:t>
                  </w:r>
                </w:p>
              </w:tc>
              <w:tc>
                <w:tcPr>
                  <w:tcW w:w="1062" w:type="dxa"/>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10</w:t>
                  </w:r>
                </w:p>
              </w:tc>
              <w:tc>
                <w:tcPr>
                  <w:tcW w:w="956" w:type="dxa"/>
                  <w:tcBorders>
                    <w:tl2br w:val="nil"/>
                    <w:tr2bl w:val="nil"/>
                  </w:tcBorders>
                  <w:vAlign w:val="center"/>
                </w:tcPr>
                <w:p>
                  <w:pPr>
                    <w:tabs>
                      <w:tab w:val="left" w:pos="2640"/>
                    </w:tabs>
                    <w:adjustRightInd w:val="0"/>
                    <w:snapToGrid w:val="0"/>
                    <w:jc w:val="center"/>
                    <w:rPr>
                      <w:rFonts w:hint="eastAsia"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46"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737"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838" w:type="dxa"/>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NH</w:t>
                  </w:r>
                  <w:r>
                    <w:rPr>
                      <w:rFonts w:hint="eastAsia" w:ascii="Times New Roman" w:hAnsi="Times New Roman" w:cs="Times New Roman"/>
                      <w:color w:val="FF0000"/>
                      <w:szCs w:val="21"/>
                      <w:vertAlign w:val="subscript"/>
                    </w:rPr>
                    <w:t>3</w:t>
                  </w:r>
                  <w:r>
                    <w:rPr>
                      <w:rFonts w:hint="eastAsia" w:ascii="Times New Roman" w:hAnsi="Times New Roman" w:cs="Times New Roman"/>
                      <w:color w:val="FF0000"/>
                      <w:szCs w:val="21"/>
                    </w:rPr>
                    <w:t>-N</w:t>
                  </w:r>
                </w:p>
              </w:tc>
              <w:tc>
                <w:tcPr>
                  <w:tcW w:w="1075" w:type="dxa"/>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30</w:t>
                  </w:r>
                </w:p>
              </w:tc>
              <w:tc>
                <w:tcPr>
                  <w:tcW w:w="800" w:type="dxa"/>
                  <w:tcBorders>
                    <w:tl2br w:val="nil"/>
                    <w:tr2bl w:val="nil"/>
                  </w:tcBorders>
                  <w:vAlign w:val="center"/>
                </w:tcPr>
                <w:p>
                  <w:pPr>
                    <w:tabs>
                      <w:tab w:val="left" w:pos="2640"/>
                    </w:tabs>
                    <w:adjustRightInd w:val="0"/>
                    <w:snapToGrid w:val="0"/>
                    <w:jc w:val="center"/>
                    <w:rPr>
                      <w:rFonts w:hint="eastAsia"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0.006</w:t>
                  </w:r>
                </w:p>
              </w:tc>
              <w:tc>
                <w:tcPr>
                  <w:tcW w:w="725"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1062" w:type="dxa"/>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30</w:t>
                  </w:r>
                </w:p>
              </w:tc>
              <w:tc>
                <w:tcPr>
                  <w:tcW w:w="863" w:type="dxa"/>
                  <w:tcBorders>
                    <w:tl2br w:val="nil"/>
                    <w:tr2bl w:val="nil"/>
                  </w:tcBorders>
                  <w:vAlign w:val="center"/>
                </w:tcPr>
                <w:p>
                  <w:pPr>
                    <w:tabs>
                      <w:tab w:val="left" w:pos="2640"/>
                    </w:tabs>
                    <w:adjustRightInd w:val="0"/>
                    <w:snapToGrid w:val="0"/>
                    <w:jc w:val="center"/>
                    <w:rPr>
                      <w:rFonts w:hint="eastAsia"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0.006</w:t>
                  </w:r>
                </w:p>
              </w:tc>
              <w:tc>
                <w:tcPr>
                  <w:tcW w:w="1062" w:type="dxa"/>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5</w:t>
                  </w:r>
                </w:p>
              </w:tc>
              <w:tc>
                <w:tcPr>
                  <w:tcW w:w="956" w:type="dxa"/>
                  <w:tcBorders>
                    <w:tl2br w:val="nil"/>
                    <w:tr2bl w:val="nil"/>
                  </w:tcBorders>
                  <w:vAlign w:val="center"/>
                </w:tcPr>
                <w:p>
                  <w:pPr>
                    <w:tabs>
                      <w:tab w:val="left" w:pos="2640"/>
                    </w:tabs>
                    <w:adjustRightInd w:val="0"/>
                    <w:snapToGrid w:val="0"/>
                    <w:jc w:val="center"/>
                    <w:rPr>
                      <w:rFonts w:hint="eastAsia"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46"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737"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838" w:type="dxa"/>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TP</w:t>
                  </w:r>
                </w:p>
              </w:tc>
              <w:tc>
                <w:tcPr>
                  <w:tcW w:w="1075" w:type="dxa"/>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5</w:t>
                  </w:r>
                </w:p>
              </w:tc>
              <w:tc>
                <w:tcPr>
                  <w:tcW w:w="800" w:type="dxa"/>
                  <w:tcBorders>
                    <w:tl2br w:val="nil"/>
                    <w:tr2bl w:val="nil"/>
                  </w:tcBorders>
                  <w:vAlign w:val="center"/>
                </w:tcPr>
                <w:p>
                  <w:pPr>
                    <w:tabs>
                      <w:tab w:val="left" w:pos="2640"/>
                    </w:tabs>
                    <w:adjustRightInd w:val="0"/>
                    <w:snapToGrid w:val="0"/>
                    <w:jc w:val="center"/>
                    <w:rPr>
                      <w:rFonts w:hint="eastAsia"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0.001</w:t>
                  </w:r>
                </w:p>
              </w:tc>
              <w:tc>
                <w:tcPr>
                  <w:tcW w:w="725"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1062" w:type="dxa"/>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5</w:t>
                  </w:r>
                </w:p>
              </w:tc>
              <w:tc>
                <w:tcPr>
                  <w:tcW w:w="863" w:type="dxa"/>
                  <w:tcBorders>
                    <w:tl2br w:val="nil"/>
                    <w:tr2bl w:val="nil"/>
                  </w:tcBorders>
                  <w:vAlign w:val="center"/>
                </w:tcPr>
                <w:p>
                  <w:pPr>
                    <w:tabs>
                      <w:tab w:val="left" w:pos="2640"/>
                    </w:tabs>
                    <w:adjustRightInd w:val="0"/>
                    <w:snapToGrid w:val="0"/>
                    <w:jc w:val="center"/>
                    <w:rPr>
                      <w:rFonts w:hint="eastAsia"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0.001</w:t>
                  </w:r>
                </w:p>
              </w:tc>
              <w:tc>
                <w:tcPr>
                  <w:tcW w:w="1062" w:type="dxa"/>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0.5</w:t>
                  </w:r>
                </w:p>
              </w:tc>
              <w:tc>
                <w:tcPr>
                  <w:tcW w:w="956" w:type="dxa"/>
                  <w:tcBorders>
                    <w:tl2br w:val="nil"/>
                    <w:tr2bl w:val="nil"/>
                  </w:tcBorders>
                  <w:vAlign w:val="center"/>
                </w:tcPr>
                <w:p>
                  <w:pPr>
                    <w:tabs>
                      <w:tab w:val="left" w:pos="2640"/>
                    </w:tabs>
                    <w:adjustRightInd w:val="0"/>
                    <w:snapToGrid w:val="0"/>
                    <w:jc w:val="center"/>
                    <w:rPr>
                      <w:rFonts w:hint="eastAsia"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0.0001</w:t>
                  </w:r>
                </w:p>
              </w:tc>
            </w:tr>
          </w:tbl>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②施工废水</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施工废水主要包括车辆和施工设备的冲洗废水等。冲洗废水的质和量是随机的，其产生量具有较大的不确定性，其主要污染物为SS、石油类。</w:t>
            </w:r>
          </w:p>
          <w:p>
            <w:pPr>
              <w:tabs>
                <w:tab w:val="left" w:pos="2640"/>
              </w:tabs>
              <w:adjustRightInd w:val="0"/>
              <w:snapToGrid w:val="0"/>
              <w:spacing w:line="360" w:lineRule="auto"/>
              <w:ind w:firstLine="482" w:firstLineChars="200"/>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3、噪声</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lang w:eastAsia="zh-CN"/>
              </w:rPr>
              <w:t>二期</w:t>
            </w:r>
            <w:r>
              <w:rPr>
                <w:rFonts w:hint="eastAsia" w:ascii="Times New Roman" w:hAnsi="Times New Roman" w:cs="Times New Roman"/>
                <w:color w:val="auto"/>
                <w:sz w:val="24"/>
                <w:szCs w:val="24"/>
              </w:rPr>
              <w:t>施工过程中</w:t>
            </w:r>
            <w:r>
              <w:rPr>
                <w:rFonts w:hint="eastAsia" w:ascii="Times New Roman" w:hAnsi="Times New Roman" w:cs="Times New Roman"/>
                <w:color w:val="auto"/>
                <w:sz w:val="24"/>
                <w:szCs w:val="24"/>
                <w:lang w:eastAsia="zh-CN"/>
              </w:rPr>
              <w:t>主要噪声包括</w:t>
            </w:r>
            <w:r>
              <w:rPr>
                <w:rFonts w:hint="eastAsia" w:ascii="Times New Roman" w:hAnsi="Times New Roman" w:cs="Times New Roman"/>
                <w:color w:val="auto"/>
                <w:sz w:val="24"/>
                <w:szCs w:val="24"/>
              </w:rPr>
              <w:t>施工机械（挖泥船、装载机、泥浆泵等）和车辆等产生的噪声污染。根据常用机械的实测资料，其污染源强见表5-</w:t>
            </w:r>
            <w:r>
              <w:rPr>
                <w:rFonts w:hint="eastAsia" w:ascii="Times New Roman" w:hAnsi="Times New Roman" w:cs="Times New Roman"/>
                <w:color w:val="auto"/>
                <w:sz w:val="24"/>
                <w:szCs w:val="24"/>
                <w:lang w:val="en-US" w:eastAsia="zh-CN"/>
              </w:rPr>
              <w:t>4</w:t>
            </w:r>
            <w:r>
              <w:rPr>
                <w:rFonts w:hint="eastAsia" w:ascii="Times New Roman" w:hAnsi="Times New Roman" w:cs="Times New Roman"/>
                <w:color w:val="auto"/>
                <w:sz w:val="24"/>
                <w:szCs w:val="24"/>
              </w:rPr>
              <w:t>。</w:t>
            </w:r>
          </w:p>
          <w:p>
            <w:pPr>
              <w:tabs>
                <w:tab w:val="left" w:pos="2640"/>
              </w:tabs>
              <w:adjustRightInd w:val="0"/>
              <w:snapToGrid w:val="0"/>
              <w:jc w:val="center"/>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表5-</w:t>
            </w:r>
            <w:r>
              <w:rPr>
                <w:rFonts w:hint="eastAsia" w:ascii="Times New Roman" w:hAnsi="Times New Roman" w:cs="Times New Roman"/>
                <w:b/>
                <w:bCs/>
                <w:color w:val="auto"/>
                <w:sz w:val="24"/>
                <w:szCs w:val="24"/>
                <w:lang w:val="en-US" w:eastAsia="zh-CN"/>
              </w:rPr>
              <w:t>4</w:t>
            </w:r>
            <w:r>
              <w:rPr>
                <w:rFonts w:hint="eastAsia" w:ascii="Times New Roman" w:hAnsi="Times New Roman" w:cs="Times New Roman"/>
                <w:b/>
                <w:bCs/>
                <w:color w:val="auto"/>
                <w:sz w:val="24"/>
                <w:szCs w:val="24"/>
              </w:rPr>
              <w:t xml:space="preserve">  </w:t>
            </w:r>
            <w:r>
              <w:rPr>
                <w:rFonts w:hint="eastAsia" w:ascii="Times New Roman" w:hAnsi="Times New Roman" w:cs="Times New Roman"/>
                <w:b/>
                <w:bCs/>
                <w:color w:val="auto"/>
                <w:sz w:val="24"/>
                <w:szCs w:val="24"/>
                <w:lang w:eastAsia="zh-CN"/>
              </w:rPr>
              <w:t>二期</w:t>
            </w:r>
            <w:r>
              <w:rPr>
                <w:rFonts w:hint="eastAsia" w:ascii="Times New Roman" w:hAnsi="Times New Roman" w:cs="Times New Roman"/>
                <w:b/>
                <w:bCs/>
                <w:color w:val="auto"/>
                <w:sz w:val="24"/>
                <w:szCs w:val="24"/>
              </w:rPr>
              <w:t>常用施工机械设备声级预测值及范围</w:t>
            </w:r>
          </w:p>
          <w:tbl>
            <w:tblPr>
              <w:tblStyle w:val="17"/>
              <w:tblW w:w="876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2666"/>
              <w:gridCol w:w="2515"/>
              <w:gridCol w:w="257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09" w:type="dxa"/>
                  <w:tcBorders>
                    <w:tl2br w:val="nil"/>
                    <w:tr2bl w:val="nil"/>
                  </w:tcBorders>
                  <w:vAlign w:val="center"/>
                </w:tcPr>
                <w:p>
                  <w:pPr>
                    <w:tabs>
                      <w:tab w:val="left" w:pos="2640"/>
                    </w:tabs>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序号</w:t>
                  </w:r>
                </w:p>
              </w:tc>
              <w:tc>
                <w:tcPr>
                  <w:tcW w:w="2666" w:type="dxa"/>
                  <w:tcBorders>
                    <w:tl2br w:val="nil"/>
                    <w:tr2bl w:val="nil"/>
                  </w:tcBorders>
                  <w:vAlign w:val="center"/>
                </w:tcPr>
                <w:p>
                  <w:pPr>
                    <w:tabs>
                      <w:tab w:val="left" w:pos="2640"/>
                    </w:tabs>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机械类型</w:t>
                  </w:r>
                </w:p>
              </w:tc>
              <w:tc>
                <w:tcPr>
                  <w:tcW w:w="2515" w:type="dxa"/>
                  <w:tcBorders>
                    <w:tl2br w:val="nil"/>
                    <w:tr2bl w:val="nil"/>
                  </w:tcBorders>
                  <w:vAlign w:val="center"/>
                </w:tcPr>
                <w:p>
                  <w:pPr>
                    <w:tabs>
                      <w:tab w:val="left" w:pos="2640"/>
                    </w:tabs>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测点距施工机械距离（m）</w:t>
                  </w:r>
                </w:p>
              </w:tc>
              <w:tc>
                <w:tcPr>
                  <w:tcW w:w="2574" w:type="dxa"/>
                  <w:tcBorders>
                    <w:tl2br w:val="nil"/>
                    <w:tr2bl w:val="nil"/>
                  </w:tcBorders>
                  <w:vAlign w:val="center"/>
                </w:tcPr>
                <w:p>
                  <w:pPr>
                    <w:tabs>
                      <w:tab w:val="left" w:pos="2640"/>
                    </w:tabs>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最大声级Leq（dB（A））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09" w:type="dxa"/>
                  <w:tcBorders>
                    <w:tl2br w:val="nil"/>
                    <w:tr2bl w:val="nil"/>
                  </w:tcBorders>
                  <w:vAlign w:val="center"/>
                </w:tcPr>
                <w:p>
                  <w:pPr>
                    <w:tabs>
                      <w:tab w:val="left" w:pos="2640"/>
                    </w:tabs>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1</w:t>
                  </w:r>
                </w:p>
              </w:tc>
              <w:tc>
                <w:tcPr>
                  <w:tcW w:w="2666" w:type="dxa"/>
                  <w:tcBorders>
                    <w:tl2br w:val="nil"/>
                    <w:tr2bl w:val="nil"/>
                  </w:tcBorders>
                  <w:vAlign w:val="center"/>
                </w:tcPr>
                <w:p>
                  <w:pPr>
                    <w:tabs>
                      <w:tab w:val="left" w:pos="2640"/>
                    </w:tabs>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挖泥船</w:t>
                  </w:r>
                </w:p>
              </w:tc>
              <w:tc>
                <w:tcPr>
                  <w:tcW w:w="2515" w:type="dxa"/>
                  <w:tcBorders>
                    <w:tl2br w:val="nil"/>
                    <w:tr2bl w:val="nil"/>
                  </w:tcBorders>
                  <w:vAlign w:val="center"/>
                </w:tcPr>
                <w:p>
                  <w:pPr>
                    <w:tabs>
                      <w:tab w:val="left" w:pos="2640"/>
                    </w:tabs>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5</w:t>
                  </w:r>
                </w:p>
              </w:tc>
              <w:tc>
                <w:tcPr>
                  <w:tcW w:w="2574" w:type="dxa"/>
                  <w:tcBorders>
                    <w:tl2br w:val="nil"/>
                    <w:tr2bl w:val="nil"/>
                  </w:tcBorders>
                  <w:vAlign w:val="center"/>
                </w:tcPr>
                <w:p>
                  <w:pPr>
                    <w:tabs>
                      <w:tab w:val="left" w:pos="2640"/>
                    </w:tabs>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84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09" w:type="dxa"/>
                  <w:tcBorders>
                    <w:tl2br w:val="nil"/>
                    <w:tr2bl w:val="nil"/>
                  </w:tcBorders>
                  <w:vAlign w:val="center"/>
                </w:tcPr>
                <w:p>
                  <w:pPr>
                    <w:tabs>
                      <w:tab w:val="left" w:pos="2640"/>
                    </w:tabs>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2</w:t>
                  </w:r>
                </w:p>
              </w:tc>
              <w:tc>
                <w:tcPr>
                  <w:tcW w:w="2666" w:type="dxa"/>
                  <w:tcBorders>
                    <w:tl2br w:val="nil"/>
                    <w:tr2bl w:val="nil"/>
                  </w:tcBorders>
                  <w:vAlign w:val="center"/>
                </w:tcPr>
                <w:p>
                  <w:pPr>
                    <w:tabs>
                      <w:tab w:val="left" w:pos="2640"/>
                    </w:tabs>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起重机</w:t>
                  </w:r>
                </w:p>
              </w:tc>
              <w:tc>
                <w:tcPr>
                  <w:tcW w:w="2515" w:type="dxa"/>
                  <w:tcBorders>
                    <w:tl2br w:val="nil"/>
                    <w:tr2bl w:val="nil"/>
                  </w:tcBorders>
                  <w:vAlign w:val="center"/>
                </w:tcPr>
                <w:p>
                  <w:pPr>
                    <w:tabs>
                      <w:tab w:val="left" w:pos="2640"/>
                    </w:tabs>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5</w:t>
                  </w:r>
                </w:p>
              </w:tc>
              <w:tc>
                <w:tcPr>
                  <w:tcW w:w="2574" w:type="dxa"/>
                  <w:tcBorders>
                    <w:tl2br w:val="nil"/>
                    <w:tr2bl w:val="nil"/>
                  </w:tcBorders>
                  <w:vAlign w:val="center"/>
                </w:tcPr>
                <w:p>
                  <w:pPr>
                    <w:tabs>
                      <w:tab w:val="left" w:pos="2640"/>
                    </w:tabs>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09" w:type="dxa"/>
                  <w:tcBorders>
                    <w:tl2br w:val="nil"/>
                    <w:tr2bl w:val="nil"/>
                  </w:tcBorders>
                  <w:vAlign w:val="center"/>
                </w:tcPr>
                <w:p>
                  <w:pPr>
                    <w:tabs>
                      <w:tab w:val="left" w:pos="2640"/>
                    </w:tabs>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3</w:t>
                  </w:r>
                </w:p>
              </w:tc>
              <w:tc>
                <w:tcPr>
                  <w:tcW w:w="2666" w:type="dxa"/>
                  <w:tcBorders>
                    <w:tl2br w:val="nil"/>
                    <w:tr2bl w:val="nil"/>
                  </w:tcBorders>
                  <w:vAlign w:val="center"/>
                </w:tcPr>
                <w:p>
                  <w:pPr>
                    <w:tabs>
                      <w:tab w:val="left" w:pos="2640"/>
                    </w:tabs>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装载机</w:t>
                  </w:r>
                </w:p>
              </w:tc>
              <w:tc>
                <w:tcPr>
                  <w:tcW w:w="2515" w:type="dxa"/>
                  <w:tcBorders>
                    <w:tl2br w:val="nil"/>
                    <w:tr2bl w:val="nil"/>
                  </w:tcBorders>
                  <w:vAlign w:val="center"/>
                </w:tcPr>
                <w:p>
                  <w:pPr>
                    <w:tabs>
                      <w:tab w:val="left" w:pos="2640"/>
                    </w:tabs>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5</w:t>
                  </w:r>
                </w:p>
              </w:tc>
              <w:tc>
                <w:tcPr>
                  <w:tcW w:w="2574" w:type="dxa"/>
                  <w:tcBorders>
                    <w:tl2br w:val="nil"/>
                    <w:tr2bl w:val="nil"/>
                  </w:tcBorders>
                  <w:vAlign w:val="center"/>
                </w:tcPr>
                <w:p>
                  <w:pPr>
                    <w:tabs>
                      <w:tab w:val="left" w:pos="2640"/>
                    </w:tabs>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82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09" w:type="dxa"/>
                  <w:tcBorders>
                    <w:tl2br w:val="nil"/>
                    <w:tr2bl w:val="nil"/>
                  </w:tcBorders>
                  <w:vAlign w:val="center"/>
                </w:tcPr>
                <w:p>
                  <w:pPr>
                    <w:tabs>
                      <w:tab w:val="left" w:pos="2640"/>
                    </w:tabs>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4</w:t>
                  </w:r>
                </w:p>
              </w:tc>
              <w:tc>
                <w:tcPr>
                  <w:tcW w:w="2666" w:type="dxa"/>
                  <w:tcBorders>
                    <w:tl2br w:val="nil"/>
                    <w:tr2bl w:val="nil"/>
                  </w:tcBorders>
                  <w:vAlign w:val="center"/>
                </w:tcPr>
                <w:p>
                  <w:pPr>
                    <w:tabs>
                      <w:tab w:val="left" w:pos="2640"/>
                    </w:tabs>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泥浆泵</w:t>
                  </w:r>
                </w:p>
              </w:tc>
              <w:tc>
                <w:tcPr>
                  <w:tcW w:w="2515" w:type="dxa"/>
                  <w:tcBorders>
                    <w:tl2br w:val="nil"/>
                    <w:tr2bl w:val="nil"/>
                  </w:tcBorders>
                  <w:vAlign w:val="center"/>
                </w:tcPr>
                <w:p>
                  <w:pPr>
                    <w:tabs>
                      <w:tab w:val="left" w:pos="2640"/>
                    </w:tabs>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5</w:t>
                  </w:r>
                </w:p>
              </w:tc>
              <w:tc>
                <w:tcPr>
                  <w:tcW w:w="2574" w:type="dxa"/>
                  <w:tcBorders>
                    <w:tl2br w:val="nil"/>
                    <w:tr2bl w:val="nil"/>
                  </w:tcBorders>
                  <w:vAlign w:val="center"/>
                </w:tcPr>
                <w:p>
                  <w:pPr>
                    <w:tabs>
                      <w:tab w:val="left" w:pos="2640"/>
                    </w:tabs>
                    <w:adjustRightInd w:val="0"/>
                    <w:snapToGrid w:val="0"/>
                    <w:jc w:val="center"/>
                    <w:rPr>
                      <w:rFonts w:ascii="Times New Roman" w:hAnsi="Times New Roman" w:cs="Times New Roman"/>
                      <w:color w:val="auto"/>
                      <w:szCs w:val="21"/>
                    </w:rPr>
                  </w:pPr>
                  <w:r>
                    <w:rPr>
                      <w:rFonts w:hint="eastAsia" w:ascii="Times New Roman" w:hAnsi="Times New Roman" w:cs="Times New Roman"/>
                      <w:color w:val="auto"/>
                      <w:szCs w:val="21"/>
                    </w:rPr>
                    <w:t>90</w:t>
                  </w:r>
                </w:p>
              </w:tc>
            </w:tr>
          </w:tbl>
          <w:p>
            <w:pPr>
              <w:tabs>
                <w:tab w:val="left" w:pos="2640"/>
              </w:tabs>
              <w:adjustRightInd w:val="0"/>
              <w:snapToGrid w:val="0"/>
              <w:spacing w:line="360" w:lineRule="auto"/>
              <w:ind w:firstLine="482" w:firstLineChars="200"/>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4、固体废弃物</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lang w:eastAsia="zh-CN"/>
              </w:rPr>
              <w:t>二期</w:t>
            </w:r>
            <w:r>
              <w:rPr>
                <w:rFonts w:hint="eastAsia" w:ascii="Times New Roman" w:hAnsi="Times New Roman" w:cs="Times New Roman"/>
                <w:color w:val="auto"/>
                <w:sz w:val="24"/>
                <w:szCs w:val="24"/>
              </w:rPr>
              <w:t>施工期固体废物主要是清淤污泥以及施工人员产生的生活垃圾。</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①施工人员生活垃圾</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施工人员生活垃圾按照0.5kg/人·d计，因此施工期生活垃圾产生量为</w:t>
            </w:r>
            <w:r>
              <w:rPr>
                <w:rFonts w:hint="eastAsia" w:ascii="Times New Roman" w:hAnsi="Times New Roman" w:cs="Times New Roman"/>
                <w:color w:val="auto"/>
                <w:sz w:val="24"/>
                <w:szCs w:val="24"/>
                <w:lang w:val="en-US" w:eastAsia="zh-CN"/>
              </w:rPr>
              <w:t>2.45</w:t>
            </w:r>
            <w:r>
              <w:rPr>
                <w:rFonts w:hint="eastAsia" w:ascii="Times New Roman" w:hAnsi="Times New Roman" w:cs="Times New Roman"/>
                <w:color w:val="auto"/>
                <w:sz w:val="24"/>
                <w:szCs w:val="24"/>
              </w:rPr>
              <w:t>t。由环卫部门定期统一回收。</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②淤泥</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项目</w:t>
            </w:r>
            <w:r>
              <w:rPr>
                <w:rFonts w:hint="eastAsia" w:ascii="Times New Roman" w:hAnsi="Times New Roman" w:cs="Times New Roman"/>
                <w:color w:val="auto"/>
                <w:sz w:val="24"/>
                <w:szCs w:val="24"/>
                <w:lang w:eastAsia="zh-CN"/>
              </w:rPr>
              <w:t>二期</w:t>
            </w:r>
            <w:r>
              <w:rPr>
                <w:rFonts w:hint="eastAsia" w:ascii="Times New Roman" w:hAnsi="Times New Roman" w:cs="Times New Roman"/>
                <w:color w:val="auto"/>
                <w:sz w:val="24"/>
                <w:szCs w:val="24"/>
              </w:rPr>
              <w:t>河道清淤将挖出约</w:t>
            </w:r>
            <w:r>
              <w:rPr>
                <w:rFonts w:hint="eastAsia" w:ascii="Times New Roman" w:hAnsi="Times New Roman" w:cs="Times New Roman"/>
                <w:color w:val="auto"/>
                <w:sz w:val="24"/>
                <w:szCs w:val="24"/>
                <w:lang w:val="en-US" w:eastAsia="zh-CN"/>
              </w:rPr>
              <w:t>1.58</w:t>
            </w:r>
            <w:r>
              <w:rPr>
                <w:rFonts w:hint="eastAsia" w:ascii="Times New Roman" w:hAnsi="Times New Roman" w:cs="Times New Roman"/>
                <w:color w:val="auto"/>
                <w:sz w:val="24"/>
                <w:szCs w:val="24"/>
              </w:rPr>
              <w:t>万m</w:t>
            </w:r>
            <w:r>
              <w:rPr>
                <w:rFonts w:hint="eastAsia" w:ascii="Times New Roman" w:hAnsi="Times New Roman" w:cs="Times New Roman"/>
                <w:color w:val="auto"/>
                <w:sz w:val="24"/>
                <w:szCs w:val="24"/>
                <w:vertAlign w:val="superscript"/>
              </w:rPr>
              <w:t>3</w:t>
            </w:r>
            <w:r>
              <w:rPr>
                <w:rFonts w:hint="eastAsia" w:ascii="Times New Roman" w:hAnsi="Times New Roman" w:cs="Times New Roman"/>
                <w:color w:val="auto"/>
                <w:sz w:val="24"/>
                <w:szCs w:val="24"/>
              </w:rPr>
              <w:t>淤泥，底泥全部回填，用于基底修复工程，不外排。</w:t>
            </w:r>
          </w:p>
          <w:p>
            <w:pPr>
              <w:tabs>
                <w:tab w:val="left" w:pos="2640"/>
              </w:tabs>
              <w:adjustRightInd w:val="0"/>
              <w:snapToGrid w:val="0"/>
              <w:spacing w:line="360" w:lineRule="auto"/>
              <w:ind w:firstLine="482" w:firstLineChars="200"/>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5、对生态环境的影响</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lang w:eastAsia="zh-CN"/>
              </w:rPr>
              <w:t>二期</w:t>
            </w:r>
            <w:r>
              <w:rPr>
                <w:rFonts w:hint="eastAsia" w:ascii="Times New Roman" w:hAnsi="Times New Roman" w:cs="Times New Roman"/>
                <w:color w:val="auto"/>
                <w:sz w:val="24"/>
                <w:szCs w:val="24"/>
              </w:rPr>
              <w:t>施工期间由于工程建设的需要，会破坏现有的一些水生植被及底栖生物，但施工后由于生态环境的改善，这些水生植被和底栖生物容易得到恢复。施工中，工程附近的水流形态会在小范围内发生变化，这可能会对鱼类等水生生物造成影响，但由于施工活动引起的水流形态改变是暂时的，因此水生生物受此影响不大。</w:t>
            </w:r>
          </w:p>
          <w:p>
            <w:pPr>
              <w:tabs>
                <w:tab w:val="left" w:pos="2640"/>
              </w:tabs>
              <w:adjustRightInd w:val="0"/>
              <w:snapToGrid w:val="0"/>
              <w:spacing w:line="360" w:lineRule="auto"/>
              <w:ind w:firstLine="482" w:firstLineChars="200"/>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6、对交通的影响</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本工程</w:t>
            </w:r>
            <w:r>
              <w:rPr>
                <w:rFonts w:hint="eastAsia" w:ascii="Times New Roman" w:hAnsi="Times New Roman" w:cs="Times New Roman"/>
                <w:color w:val="auto"/>
                <w:sz w:val="24"/>
                <w:szCs w:val="24"/>
                <w:lang w:eastAsia="zh-CN"/>
              </w:rPr>
              <w:t>二期</w:t>
            </w:r>
            <w:r>
              <w:rPr>
                <w:rFonts w:hint="eastAsia" w:ascii="Times New Roman" w:hAnsi="Times New Roman" w:cs="Times New Roman"/>
                <w:color w:val="auto"/>
                <w:sz w:val="24"/>
                <w:szCs w:val="24"/>
              </w:rPr>
              <w:t>施工期间，挖泥船将增加区域河道交通压力、运输汽车将增加区域道路交通压力。</w:t>
            </w:r>
          </w:p>
          <w:p>
            <w:pPr>
              <w:tabs>
                <w:tab w:val="left" w:pos="2640"/>
              </w:tabs>
              <w:adjustRightInd w:val="0"/>
              <w:snapToGrid w:val="0"/>
              <w:spacing w:line="360" w:lineRule="auto"/>
              <w:ind w:firstLine="482" w:firstLineChars="200"/>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7、对人群健康的影响</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lang w:eastAsia="zh-CN"/>
              </w:rPr>
              <w:t>二期</w:t>
            </w:r>
            <w:r>
              <w:rPr>
                <w:rFonts w:hint="eastAsia" w:ascii="Times New Roman" w:hAnsi="Times New Roman" w:cs="Times New Roman"/>
                <w:color w:val="auto"/>
                <w:sz w:val="24"/>
                <w:szCs w:val="24"/>
              </w:rPr>
              <w:t>施工人员大量进入工区，人口密度上升，给各种传染性疾病提供可传播途径，工区是潜在的疾病流行、暴发场地，工区周边居民及施工人员可能受到影响。</w:t>
            </w:r>
          </w:p>
          <w:p>
            <w:pPr>
              <w:tabs>
                <w:tab w:val="left" w:pos="2640"/>
              </w:tabs>
              <w:adjustRightInd w:val="0"/>
              <w:snapToGrid w:val="0"/>
              <w:spacing w:line="360" w:lineRule="auto"/>
              <w:ind w:firstLine="482" w:firstLineChars="200"/>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8、工程占地的影响</w:t>
            </w:r>
          </w:p>
          <w:p>
            <w:pPr>
              <w:tabs>
                <w:tab w:val="left" w:pos="2640"/>
              </w:tabs>
              <w:adjustRightInd w:val="0"/>
              <w:snapToGrid w:val="0"/>
              <w:spacing w:line="360" w:lineRule="auto"/>
              <w:ind w:firstLine="480" w:firstLineChars="200"/>
              <w:rPr>
                <w:rFonts w:hint="eastAsia" w:ascii="宋体" w:hAnsi="宋体" w:eastAsia="宋体"/>
                <w:color w:val="auto"/>
                <w:sz w:val="24"/>
              </w:rPr>
            </w:pPr>
            <w:r>
              <w:rPr>
                <w:rFonts w:hint="eastAsia" w:ascii="Times New Roman" w:hAnsi="Times New Roman" w:cs="Times New Roman"/>
                <w:color w:val="auto"/>
                <w:sz w:val="24"/>
                <w:szCs w:val="24"/>
              </w:rPr>
              <w:t>本</w:t>
            </w:r>
            <w:r>
              <w:rPr>
                <w:rStyle w:val="15"/>
                <w:rFonts w:hint="eastAsia"/>
                <w:color w:val="auto"/>
                <w:sz w:val="24"/>
                <w:szCs w:val="24"/>
                <w:lang w:eastAsia="zh-CN"/>
              </w:rPr>
              <w:t>项目</w:t>
            </w:r>
            <w:r>
              <w:rPr>
                <w:rFonts w:hint="eastAsia" w:ascii="Times New Roman" w:hAnsi="Times New Roman" w:cs="Times New Roman"/>
                <w:color w:val="auto"/>
                <w:sz w:val="24"/>
                <w:szCs w:val="24"/>
                <w:lang w:eastAsia="zh-CN"/>
              </w:rPr>
              <w:t>二期</w:t>
            </w:r>
            <w:r>
              <w:rPr>
                <w:rFonts w:hint="eastAsia" w:ascii="Times New Roman" w:hAnsi="Times New Roman" w:cs="Times New Roman"/>
                <w:color w:val="auto"/>
                <w:sz w:val="24"/>
                <w:szCs w:val="24"/>
              </w:rPr>
              <w:t>临时占地在短期内将改变原有土地利用方式，由于本工程</w:t>
            </w:r>
            <w:r>
              <w:rPr>
                <w:rFonts w:hint="eastAsia" w:ascii="Times New Roman" w:hAnsi="Times New Roman" w:cs="Times New Roman"/>
                <w:color w:val="auto"/>
                <w:sz w:val="24"/>
                <w:szCs w:val="24"/>
                <w:lang w:eastAsia="zh-CN"/>
              </w:rPr>
              <w:t>二期</w:t>
            </w:r>
            <w:r>
              <w:rPr>
                <w:rFonts w:hint="eastAsia" w:ascii="Times New Roman" w:hAnsi="Times New Roman" w:cs="Times New Roman"/>
                <w:color w:val="auto"/>
                <w:sz w:val="24"/>
                <w:szCs w:val="24"/>
              </w:rPr>
              <w:t>临时占地范围内无珍稀</w:t>
            </w:r>
            <w:r>
              <w:rPr>
                <w:rFonts w:hint="eastAsia" w:ascii="宋体" w:hAnsi="宋体" w:eastAsia="宋体"/>
                <w:color w:val="auto"/>
                <w:sz w:val="24"/>
              </w:rPr>
              <w:t>动植物的生长地和栖息地，无特殊生境和特有物种，</w:t>
            </w:r>
            <w:r>
              <w:rPr>
                <w:rFonts w:hint="eastAsia" w:ascii="Times New Roman" w:hAnsi="Times New Roman" w:cs="Times New Roman"/>
                <w:color w:val="auto"/>
                <w:sz w:val="24"/>
                <w:szCs w:val="24"/>
                <w:lang w:eastAsia="zh-CN"/>
              </w:rPr>
              <w:t>二期</w:t>
            </w:r>
            <w:r>
              <w:rPr>
                <w:rFonts w:hint="eastAsia" w:ascii="宋体" w:hAnsi="宋体" w:eastAsia="宋体"/>
                <w:color w:val="auto"/>
                <w:sz w:val="24"/>
              </w:rPr>
              <w:t>工程施工完成后及时对临时占地进行平整，按原地貌进行恢复或者绿化，将有利于改善局部环境，对区域生态环境也无明显影响。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235" w:hRule="atLeast"/>
          <w:jc w:val="center"/>
        </w:trPr>
        <w:tc>
          <w:tcPr>
            <w:tcW w:w="8980" w:type="dxa"/>
            <w:tcBorders>
              <w:top w:val="single" w:color="auto" w:sz="4" w:space="0"/>
              <w:bottom w:val="single" w:color="auto" w:sz="4" w:space="0"/>
            </w:tcBorders>
          </w:tcPr>
          <w:p>
            <w:pPr>
              <w:tabs>
                <w:tab w:val="left" w:pos="2640"/>
              </w:tabs>
              <w:adjustRightInd w:val="0"/>
              <w:snapToGrid w:val="0"/>
              <w:spacing w:line="360" w:lineRule="auto"/>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（二）、营运期污染</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本项目为无污染生态型环境工程，营运期中无“三废”排放。</w:t>
            </w:r>
          </w:p>
        </w:tc>
      </w:tr>
    </w:tbl>
    <w:p>
      <w:pPr>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0"/>
        <w:adjustRightInd w:val="0"/>
        <w:snapToGrid w:val="0"/>
        <w:rPr>
          <w:color w:val="auto"/>
        </w:rPr>
      </w:pPr>
      <w:r>
        <w:rPr>
          <w:rFonts w:hint="eastAsia"/>
          <w:color w:val="auto"/>
        </w:rPr>
        <w:t>六、</w:t>
      </w:r>
      <w:r>
        <w:rPr>
          <w:color w:val="auto"/>
        </w:rPr>
        <w:t>项目主要污染物产生及预计排放情况</w:t>
      </w:r>
    </w:p>
    <w:tbl>
      <w:tblPr>
        <w:tblStyle w:val="16"/>
        <w:tblW w:w="8980" w:type="dxa"/>
        <w:jc w:val="center"/>
        <w:tblInd w:w="-825"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98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3102" w:hRule="atLeast"/>
          <w:jc w:val="center"/>
        </w:trPr>
        <w:tc>
          <w:tcPr>
            <w:tcW w:w="8980" w:type="dxa"/>
            <w:tcBorders>
              <w:top w:val="single" w:color="auto" w:sz="4" w:space="0"/>
              <w:bottom w:val="single" w:color="auto" w:sz="4" w:space="0"/>
            </w:tcBorders>
          </w:tcPr>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本项目主要污染物产生及预计排放情况详见表6-1。</w:t>
            </w:r>
          </w:p>
          <w:p>
            <w:pPr>
              <w:tabs>
                <w:tab w:val="left" w:pos="2640"/>
              </w:tabs>
              <w:adjustRightInd w:val="0"/>
              <w:snapToGrid w:val="0"/>
              <w:jc w:val="center"/>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表6-1  本项目主要污染物产生及预计排放情况汇总表</w:t>
            </w:r>
          </w:p>
          <w:tbl>
            <w:tblPr>
              <w:tblStyle w:val="17"/>
              <w:tblW w:w="876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73"/>
              <w:gridCol w:w="973"/>
              <w:gridCol w:w="1392"/>
              <w:gridCol w:w="783"/>
              <w:gridCol w:w="287"/>
              <w:gridCol w:w="750"/>
              <w:gridCol w:w="825"/>
              <w:gridCol w:w="175"/>
              <w:gridCol w:w="713"/>
              <w:gridCol w:w="84"/>
              <w:gridCol w:w="834"/>
              <w:gridCol w:w="97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73" w:type="dxa"/>
                  <w:tcBorders>
                    <w:tl2br w:val="single" w:color="auto" w:sz="4" w:space="0"/>
                  </w:tcBorders>
                  <w:vAlign w:val="center"/>
                </w:tcPr>
                <w:p>
                  <w:pPr>
                    <w:tabs>
                      <w:tab w:val="left" w:pos="2640"/>
                    </w:tabs>
                    <w:adjustRightInd w:val="0"/>
                    <w:snapToGrid w:val="0"/>
                    <w:jc w:val="right"/>
                    <w:rPr>
                      <w:rFonts w:ascii="Times New Roman" w:hAnsi="Times New Roman" w:cs="Times New Roman"/>
                      <w:b/>
                      <w:bCs/>
                      <w:color w:val="FF0000"/>
                      <w:szCs w:val="21"/>
                    </w:rPr>
                  </w:pPr>
                  <w:r>
                    <w:rPr>
                      <w:rFonts w:hint="eastAsia" w:ascii="Times New Roman" w:hAnsi="Times New Roman" w:cs="Times New Roman"/>
                      <w:b/>
                      <w:bCs/>
                      <w:color w:val="FF0000"/>
                      <w:szCs w:val="21"/>
                    </w:rPr>
                    <w:t>内容</w:t>
                  </w:r>
                </w:p>
                <w:p>
                  <w:pPr>
                    <w:tabs>
                      <w:tab w:val="left" w:pos="2640"/>
                    </w:tabs>
                    <w:adjustRightInd w:val="0"/>
                    <w:snapToGrid w:val="0"/>
                    <w:jc w:val="left"/>
                    <w:rPr>
                      <w:rFonts w:ascii="Times New Roman" w:hAnsi="Times New Roman" w:cs="Times New Roman"/>
                      <w:b/>
                      <w:bCs/>
                      <w:color w:val="FF0000"/>
                      <w:szCs w:val="21"/>
                    </w:rPr>
                  </w:pPr>
                  <w:r>
                    <w:rPr>
                      <w:rFonts w:hint="eastAsia" w:ascii="Times New Roman" w:hAnsi="Times New Roman" w:cs="Times New Roman"/>
                      <w:b/>
                      <w:bCs/>
                      <w:color w:val="FF0000"/>
                      <w:szCs w:val="21"/>
                    </w:rPr>
                    <w:t>类型</w:t>
                  </w:r>
                </w:p>
              </w:tc>
              <w:tc>
                <w:tcPr>
                  <w:tcW w:w="973" w:type="dxa"/>
                  <w:tcBorders>
                    <w:tl2br w:val="nil"/>
                    <w:tr2bl w:val="nil"/>
                  </w:tcBorders>
                  <w:vAlign w:val="center"/>
                </w:tcPr>
                <w:p>
                  <w:pPr>
                    <w:tabs>
                      <w:tab w:val="left" w:pos="2640"/>
                    </w:tabs>
                    <w:adjustRightInd w:val="0"/>
                    <w:snapToGrid w:val="0"/>
                    <w:jc w:val="center"/>
                    <w:rPr>
                      <w:rFonts w:ascii="Times New Roman" w:hAnsi="Times New Roman" w:cs="Times New Roman"/>
                      <w:b/>
                      <w:bCs/>
                      <w:color w:val="FF0000"/>
                      <w:szCs w:val="21"/>
                    </w:rPr>
                  </w:pPr>
                  <w:r>
                    <w:rPr>
                      <w:rFonts w:hint="eastAsia" w:ascii="Times New Roman" w:hAnsi="Times New Roman" w:cs="Times New Roman"/>
                      <w:b/>
                      <w:bCs/>
                      <w:color w:val="FF0000"/>
                      <w:szCs w:val="21"/>
                    </w:rPr>
                    <w:t>排放源（编号）</w:t>
                  </w:r>
                </w:p>
              </w:tc>
              <w:tc>
                <w:tcPr>
                  <w:tcW w:w="1392" w:type="dxa"/>
                  <w:tcBorders>
                    <w:tl2br w:val="nil"/>
                    <w:tr2bl w:val="nil"/>
                  </w:tcBorders>
                  <w:vAlign w:val="center"/>
                </w:tcPr>
                <w:p>
                  <w:pPr>
                    <w:tabs>
                      <w:tab w:val="left" w:pos="2640"/>
                    </w:tabs>
                    <w:adjustRightInd w:val="0"/>
                    <w:snapToGrid w:val="0"/>
                    <w:jc w:val="center"/>
                    <w:rPr>
                      <w:rFonts w:ascii="Times New Roman" w:hAnsi="Times New Roman" w:cs="Times New Roman"/>
                      <w:b/>
                      <w:bCs/>
                      <w:color w:val="FF0000"/>
                      <w:szCs w:val="21"/>
                    </w:rPr>
                  </w:pPr>
                  <w:r>
                    <w:rPr>
                      <w:rFonts w:hint="eastAsia" w:ascii="Times New Roman" w:hAnsi="Times New Roman" w:cs="Times New Roman"/>
                      <w:b/>
                      <w:bCs/>
                      <w:color w:val="FF0000"/>
                      <w:szCs w:val="21"/>
                    </w:rPr>
                    <w:t>污染物名称</w:t>
                  </w:r>
                </w:p>
              </w:tc>
              <w:tc>
                <w:tcPr>
                  <w:tcW w:w="1070" w:type="dxa"/>
                  <w:gridSpan w:val="2"/>
                  <w:tcBorders>
                    <w:tl2br w:val="nil"/>
                    <w:tr2bl w:val="nil"/>
                  </w:tcBorders>
                  <w:vAlign w:val="center"/>
                </w:tcPr>
                <w:p>
                  <w:pPr>
                    <w:tabs>
                      <w:tab w:val="left" w:pos="2640"/>
                    </w:tabs>
                    <w:adjustRightInd w:val="0"/>
                    <w:snapToGrid w:val="0"/>
                    <w:jc w:val="center"/>
                    <w:rPr>
                      <w:rFonts w:ascii="Times New Roman" w:hAnsi="Times New Roman" w:cs="Times New Roman"/>
                      <w:b/>
                      <w:bCs/>
                      <w:color w:val="FF0000"/>
                      <w:szCs w:val="21"/>
                    </w:rPr>
                  </w:pPr>
                  <w:r>
                    <w:rPr>
                      <w:rFonts w:hint="eastAsia" w:ascii="Times New Roman" w:hAnsi="Times New Roman" w:cs="Times New Roman"/>
                      <w:b/>
                      <w:bCs/>
                      <w:color w:val="FF0000"/>
                      <w:szCs w:val="21"/>
                    </w:rPr>
                    <w:t>产生浓度mg/m</w:t>
                  </w:r>
                  <w:r>
                    <w:rPr>
                      <w:rFonts w:hint="eastAsia" w:ascii="Times New Roman" w:hAnsi="Times New Roman" w:cs="Times New Roman"/>
                      <w:b/>
                      <w:bCs/>
                      <w:color w:val="FF0000"/>
                      <w:szCs w:val="21"/>
                      <w:vertAlign w:val="superscript"/>
                    </w:rPr>
                    <w:t>3</w:t>
                  </w:r>
                </w:p>
              </w:tc>
              <w:tc>
                <w:tcPr>
                  <w:tcW w:w="750" w:type="dxa"/>
                  <w:tcBorders>
                    <w:tl2br w:val="nil"/>
                    <w:tr2bl w:val="nil"/>
                  </w:tcBorders>
                  <w:vAlign w:val="center"/>
                </w:tcPr>
                <w:p>
                  <w:pPr>
                    <w:tabs>
                      <w:tab w:val="left" w:pos="2640"/>
                    </w:tabs>
                    <w:adjustRightInd w:val="0"/>
                    <w:snapToGrid w:val="0"/>
                    <w:jc w:val="center"/>
                    <w:rPr>
                      <w:rFonts w:ascii="Times New Roman" w:hAnsi="Times New Roman" w:cs="Times New Roman"/>
                      <w:b/>
                      <w:bCs/>
                      <w:color w:val="FF0000"/>
                      <w:szCs w:val="21"/>
                    </w:rPr>
                  </w:pPr>
                  <w:r>
                    <w:rPr>
                      <w:rFonts w:hint="eastAsia" w:ascii="Times New Roman" w:hAnsi="Times New Roman" w:cs="Times New Roman"/>
                      <w:b/>
                      <w:bCs/>
                      <w:color w:val="FF0000"/>
                      <w:szCs w:val="21"/>
                    </w:rPr>
                    <w:t>产生量t/a</w:t>
                  </w:r>
                </w:p>
              </w:tc>
              <w:tc>
                <w:tcPr>
                  <w:tcW w:w="1000" w:type="dxa"/>
                  <w:gridSpan w:val="2"/>
                  <w:tcBorders>
                    <w:tl2br w:val="nil"/>
                    <w:tr2bl w:val="nil"/>
                  </w:tcBorders>
                  <w:vAlign w:val="center"/>
                </w:tcPr>
                <w:p>
                  <w:pPr>
                    <w:tabs>
                      <w:tab w:val="left" w:pos="2640"/>
                    </w:tabs>
                    <w:adjustRightInd w:val="0"/>
                    <w:snapToGrid w:val="0"/>
                    <w:jc w:val="center"/>
                    <w:rPr>
                      <w:rFonts w:ascii="Times New Roman" w:hAnsi="Times New Roman" w:cs="Times New Roman"/>
                      <w:b/>
                      <w:bCs/>
                      <w:color w:val="FF0000"/>
                      <w:szCs w:val="21"/>
                    </w:rPr>
                  </w:pPr>
                  <w:r>
                    <w:rPr>
                      <w:rFonts w:hint="eastAsia" w:ascii="Times New Roman" w:hAnsi="Times New Roman" w:cs="Times New Roman"/>
                      <w:b/>
                      <w:bCs/>
                      <w:color w:val="FF0000"/>
                      <w:szCs w:val="21"/>
                    </w:rPr>
                    <w:t>排放浓度mg/m</w:t>
                  </w:r>
                  <w:r>
                    <w:rPr>
                      <w:rFonts w:hint="eastAsia" w:ascii="Times New Roman" w:hAnsi="Times New Roman" w:cs="Times New Roman"/>
                      <w:b/>
                      <w:bCs/>
                      <w:color w:val="FF0000"/>
                      <w:szCs w:val="21"/>
                      <w:vertAlign w:val="superscript"/>
                    </w:rPr>
                    <w:t>3</w:t>
                  </w:r>
                </w:p>
              </w:tc>
              <w:tc>
                <w:tcPr>
                  <w:tcW w:w="797" w:type="dxa"/>
                  <w:gridSpan w:val="2"/>
                  <w:tcBorders>
                    <w:tl2br w:val="nil"/>
                    <w:tr2bl w:val="nil"/>
                  </w:tcBorders>
                  <w:vAlign w:val="center"/>
                </w:tcPr>
                <w:p>
                  <w:pPr>
                    <w:tabs>
                      <w:tab w:val="left" w:pos="2640"/>
                    </w:tabs>
                    <w:adjustRightInd w:val="0"/>
                    <w:snapToGrid w:val="0"/>
                    <w:jc w:val="center"/>
                    <w:rPr>
                      <w:rFonts w:ascii="Times New Roman" w:hAnsi="Times New Roman" w:cs="Times New Roman"/>
                      <w:b/>
                      <w:bCs/>
                      <w:color w:val="FF0000"/>
                      <w:szCs w:val="21"/>
                    </w:rPr>
                  </w:pPr>
                  <w:r>
                    <w:rPr>
                      <w:rFonts w:hint="eastAsia" w:ascii="Times New Roman" w:hAnsi="Times New Roman" w:cs="Times New Roman"/>
                      <w:b/>
                      <w:bCs/>
                      <w:color w:val="FF0000"/>
                      <w:szCs w:val="21"/>
                    </w:rPr>
                    <w:t>排放速率kg/h</w:t>
                  </w:r>
                </w:p>
              </w:tc>
              <w:tc>
                <w:tcPr>
                  <w:tcW w:w="834" w:type="dxa"/>
                  <w:tcBorders>
                    <w:tl2br w:val="nil"/>
                    <w:tr2bl w:val="nil"/>
                  </w:tcBorders>
                  <w:vAlign w:val="center"/>
                </w:tcPr>
                <w:p>
                  <w:pPr>
                    <w:tabs>
                      <w:tab w:val="left" w:pos="2640"/>
                    </w:tabs>
                    <w:adjustRightInd w:val="0"/>
                    <w:snapToGrid w:val="0"/>
                    <w:jc w:val="center"/>
                    <w:rPr>
                      <w:rFonts w:ascii="Times New Roman" w:hAnsi="Times New Roman" w:cs="Times New Roman"/>
                      <w:b/>
                      <w:bCs/>
                      <w:color w:val="FF0000"/>
                      <w:szCs w:val="21"/>
                    </w:rPr>
                  </w:pPr>
                  <w:r>
                    <w:rPr>
                      <w:rFonts w:hint="eastAsia" w:ascii="Times New Roman" w:hAnsi="Times New Roman" w:cs="Times New Roman"/>
                      <w:b/>
                      <w:bCs/>
                      <w:color w:val="FF0000"/>
                      <w:szCs w:val="21"/>
                    </w:rPr>
                    <w:t>排放量t/a</w:t>
                  </w:r>
                </w:p>
              </w:tc>
              <w:tc>
                <w:tcPr>
                  <w:tcW w:w="975" w:type="dxa"/>
                  <w:tcBorders>
                    <w:tl2br w:val="nil"/>
                    <w:tr2bl w:val="nil"/>
                  </w:tcBorders>
                  <w:vAlign w:val="center"/>
                </w:tcPr>
                <w:p>
                  <w:pPr>
                    <w:tabs>
                      <w:tab w:val="left" w:pos="2640"/>
                    </w:tabs>
                    <w:adjustRightInd w:val="0"/>
                    <w:snapToGrid w:val="0"/>
                    <w:jc w:val="center"/>
                    <w:rPr>
                      <w:rFonts w:ascii="Times New Roman" w:hAnsi="Times New Roman" w:cs="Times New Roman"/>
                      <w:b/>
                      <w:bCs/>
                      <w:color w:val="FF0000"/>
                      <w:szCs w:val="21"/>
                    </w:rPr>
                  </w:pPr>
                  <w:r>
                    <w:rPr>
                      <w:rFonts w:hint="eastAsia" w:ascii="Times New Roman" w:hAnsi="Times New Roman" w:cs="Times New Roman"/>
                      <w:b/>
                      <w:bCs/>
                      <w:color w:val="FF0000"/>
                      <w:szCs w:val="21"/>
                    </w:rPr>
                    <w:t>排放去向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73" w:type="dxa"/>
                  <w:vMerge w:val="restart"/>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大气污染物</w:t>
                  </w:r>
                </w:p>
              </w:tc>
              <w:tc>
                <w:tcPr>
                  <w:tcW w:w="973" w:type="dxa"/>
                  <w:vMerge w:val="restart"/>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施工期</w:t>
                  </w:r>
                  <w:r>
                    <w:rPr>
                      <w:rFonts w:hint="eastAsia" w:ascii="Times New Roman" w:hAnsi="Times New Roman" w:cs="Times New Roman"/>
                      <w:color w:val="FF0000"/>
                      <w:szCs w:val="21"/>
                      <w:lang w:eastAsia="zh-CN"/>
                    </w:rPr>
                    <w:t>（一期）</w:t>
                  </w:r>
                </w:p>
              </w:tc>
              <w:tc>
                <w:tcPr>
                  <w:tcW w:w="1392" w:type="dxa"/>
                  <w:tcBorders>
                    <w:tl2br w:val="nil"/>
                    <w:tr2bl w:val="nil"/>
                  </w:tcBorders>
                  <w:vAlign w:val="center"/>
                </w:tcPr>
                <w:p>
                  <w:pPr>
                    <w:tabs>
                      <w:tab w:val="left" w:pos="2640"/>
                    </w:tabs>
                    <w:adjustRightInd w:val="0"/>
                    <w:snapToGrid w:val="0"/>
                    <w:jc w:val="center"/>
                    <w:rPr>
                      <w:rFonts w:hint="default" w:ascii="Times New Roman" w:hAnsi="Times New Roman" w:cs="Times New Roman"/>
                      <w:color w:val="FF0000"/>
                      <w:szCs w:val="21"/>
                    </w:rPr>
                  </w:pPr>
                  <w:r>
                    <w:rPr>
                      <w:rFonts w:hint="default" w:ascii="Times New Roman" w:hAnsi="Times New Roman" w:cs="Times New Roman"/>
                      <w:color w:val="FF0000"/>
                      <w:szCs w:val="21"/>
                    </w:rPr>
                    <w:t>粉尘、</w:t>
                  </w:r>
                  <w:r>
                    <w:rPr>
                      <w:rFonts w:hint="eastAsia" w:ascii="Times New Roman" w:hAnsi="Times New Roman" w:cs="Times New Roman"/>
                      <w:color w:val="FF0000"/>
                      <w:szCs w:val="21"/>
                      <w:lang w:eastAsia="zh-CN"/>
                    </w:rPr>
                    <w:t>施工运输车辆</w:t>
                  </w:r>
                  <w:r>
                    <w:rPr>
                      <w:rFonts w:hint="default" w:ascii="Times New Roman" w:hAnsi="Times New Roman" w:cs="Times New Roman"/>
                      <w:color w:val="FF0000"/>
                      <w:szCs w:val="21"/>
                    </w:rPr>
                    <w:t>尾气</w:t>
                  </w:r>
                </w:p>
              </w:tc>
              <w:tc>
                <w:tcPr>
                  <w:tcW w:w="1820" w:type="dxa"/>
                  <w:gridSpan w:val="3"/>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少量</w:t>
                  </w:r>
                </w:p>
              </w:tc>
              <w:tc>
                <w:tcPr>
                  <w:tcW w:w="2631" w:type="dxa"/>
                  <w:gridSpan w:val="5"/>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少量</w:t>
                  </w:r>
                </w:p>
              </w:tc>
              <w:tc>
                <w:tcPr>
                  <w:tcW w:w="975" w:type="dxa"/>
                  <w:vMerge w:val="restart"/>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大气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73"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973"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1392" w:type="dxa"/>
                  <w:tcBorders>
                    <w:tl2br w:val="nil"/>
                    <w:tr2bl w:val="nil"/>
                  </w:tcBorders>
                  <w:vAlign w:val="center"/>
                </w:tcPr>
                <w:p>
                  <w:pPr>
                    <w:tabs>
                      <w:tab w:val="left" w:pos="2640"/>
                    </w:tabs>
                    <w:adjustRightInd w:val="0"/>
                    <w:snapToGrid w:val="0"/>
                    <w:jc w:val="center"/>
                    <w:rPr>
                      <w:rFonts w:hint="default" w:ascii="Times New Roman" w:hAnsi="Times New Roman" w:cs="Times New Roman"/>
                      <w:color w:val="FF0000"/>
                      <w:szCs w:val="21"/>
                    </w:rPr>
                  </w:pPr>
                  <w:r>
                    <w:rPr>
                      <w:rFonts w:hint="default" w:ascii="Times New Roman" w:hAnsi="Times New Roman" w:cs="Times New Roman"/>
                      <w:color w:val="FF0000"/>
                      <w:szCs w:val="21"/>
                    </w:rPr>
                    <w:t>恶臭</w:t>
                  </w:r>
                  <w:r>
                    <w:rPr>
                      <w:rStyle w:val="15"/>
                      <w:rFonts w:hint="default" w:ascii="Times New Roman" w:hAnsi="Times New Roman" w:cs="Times New Roman"/>
                      <w:color w:val="FF0000"/>
                      <w:lang w:eastAsia="zh-CN"/>
                    </w:rPr>
                    <w:t>（NH</w:t>
                  </w:r>
                  <w:r>
                    <w:rPr>
                      <w:rStyle w:val="15"/>
                      <w:rFonts w:hint="default" w:ascii="Times New Roman" w:hAnsi="Times New Roman" w:cs="Times New Roman"/>
                      <w:color w:val="FF0000"/>
                      <w:vertAlign w:val="subscript"/>
                      <w:lang w:eastAsia="zh-CN"/>
                    </w:rPr>
                    <w:t>3</w:t>
                  </w:r>
                  <w:r>
                    <w:rPr>
                      <w:rStyle w:val="15"/>
                      <w:rFonts w:hint="default" w:ascii="Times New Roman" w:hAnsi="Times New Roman" w:cs="Times New Roman"/>
                      <w:color w:val="FF0000"/>
                      <w:lang w:eastAsia="zh-CN"/>
                    </w:rPr>
                    <w:t>、H</w:t>
                  </w:r>
                  <w:r>
                    <w:rPr>
                      <w:rStyle w:val="15"/>
                      <w:rFonts w:hint="default" w:ascii="Times New Roman" w:hAnsi="Times New Roman" w:cs="Times New Roman"/>
                      <w:color w:val="FF0000"/>
                      <w:vertAlign w:val="subscript"/>
                      <w:lang w:eastAsia="zh-CN"/>
                    </w:rPr>
                    <w:t>2</w:t>
                  </w:r>
                  <w:r>
                    <w:rPr>
                      <w:rStyle w:val="15"/>
                      <w:rFonts w:hint="default" w:ascii="Times New Roman" w:hAnsi="Times New Roman" w:cs="Times New Roman"/>
                      <w:color w:val="FF0000"/>
                      <w:lang w:eastAsia="zh-CN"/>
                    </w:rPr>
                    <w:t>S）</w:t>
                  </w:r>
                </w:p>
              </w:tc>
              <w:tc>
                <w:tcPr>
                  <w:tcW w:w="1820" w:type="dxa"/>
                  <w:gridSpan w:val="3"/>
                  <w:tcBorders>
                    <w:tl2br w:val="nil"/>
                    <w:tr2bl w:val="nil"/>
                  </w:tcBorders>
                  <w:vAlign w:val="center"/>
                </w:tcPr>
                <w:p>
                  <w:pPr>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少量</w:t>
                  </w:r>
                </w:p>
              </w:tc>
              <w:tc>
                <w:tcPr>
                  <w:tcW w:w="2631" w:type="dxa"/>
                  <w:gridSpan w:val="5"/>
                  <w:tcBorders>
                    <w:tl2br w:val="nil"/>
                    <w:tr2bl w:val="nil"/>
                  </w:tcBorders>
                  <w:vAlign w:val="center"/>
                </w:tcPr>
                <w:p>
                  <w:pPr>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少量</w:t>
                  </w:r>
                </w:p>
              </w:tc>
              <w:tc>
                <w:tcPr>
                  <w:tcW w:w="975"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73"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973" w:type="dxa"/>
                  <w:vMerge w:val="restart"/>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施工期</w:t>
                  </w:r>
                  <w:r>
                    <w:rPr>
                      <w:rFonts w:hint="eastAsia" w:ascii="Times New Roman" w:hAnsi="Times New Roman" w:cs="Times New Roman"/>
                      <w:color w:val="FF0000"/>
                      <w:szCs w:val="21"/>
                      <w:lang w:eastAsia="zh-CN"/>
                    </w:rPr>
                    <w:t>（二期）</w:t>
                  </w:r>
                </w:p>
              </w:tc>
              <w:tc>
                <w:tcPr>
                  <w:tcW w:w="1392" w:type="dxa"/>
                  <w:tcBorders>
                    <w:tl2br w:val="nil"/>
                    <w:tr2bl w:val="nil"/>
                  </w:tcBorders>
                  <w:vAlign w:val="center"/>
                </w:tcPr>
                <w:p>
                  <w:pPr>
                    <w:tabs>
                      <w:tab w:val="left" w:pos="2640"/>
                    </w:tabs>
                    <w:adjustRightInd w:val="0"/>
                    <w:snapToGrid w:val="0"/>
                    <w:jc w:val="center"/>
                    <w:rPr>
                      <w:rFonts w:hint="default" w:ascii="Times New Roman" w:hAnsi="Times New Roman" w:cs="Times New Roman"/>
                      <w:color w:val="FF0000"/>
                      <w:szCs w:val="21"/>
                    </w:rPr>
                  </w:pPr>
                  <w:r>
                    <w:rPr>
                      <w:rFonts w:hint="default" w:ascii="Times New Roman" w:hAnsi="Times New Roman" w:cs="Times New Roman"/>
                      <w:color w:val="FF0000"/>
                      <w:szCs w:val="21"/>
                    </w:rPr>
                    <w:t>粉尘、</w:t>
                  </w:r>
                  <w:r>
                    <w:rPr>
                      <w:rFonts w:hint="eastAsia" w:ascii="Times New Roman" w:hAnsi="Times New Roman" w:cs="Times New Roman"/>
                      <w:color w:val="FF0000"/>
                      <w:szCs w:val="21"/>
                      <w:lang w:eastAsia="zh-CN"/>
                    </w:rPr>
                    <w:t>施工运输车辆</w:t>
                  </w:r>
                  <w:r>
                    <w:rPr>
                      <w:rFonts w:hint="default" w:ascii="Times New Roman" w:hAnsi="Times New Roman" w:cs="Times New Roman"/>
                      <w:color w:val="FF0000"/>
                      <w:szCs w:val="21"/>
                    </w:rPr>
                    <w:t>尾气</w:t>
                  </w:r>
                </w:p>
              </w:tc>
              <w:tc>
                <w:tcPr>
                  <w:tcW w:w="1820" w:type="dxa"/>
                  <w:gridSpan w:val="3"/>
                  <w:tcBorders>
                    <w:tl2br w:val="nil"/>
                    <w:tr2bl w:val="nil"/>
                  </w:tcBorders>
                  <w:vAlign w:val="center"/>
                </w:tcPr>
                <w:p>
                  <w:pPr>
                    <w:tabs>
                      <w:tab w:val="left" w:pos="2640"/>
                    </w:tabs>
                    <w:adjustRightInd w:val="0"/>
                    <w:snapToGrid w:val="0"/>
                    <w:jc w:val="center"/>
                    <w:rPr>
                      <w:rFonts w:hint="eastAsia" w:ascii="Times New Roman" w:hAnsi="Times New Roman" w:cs="Times New Roman"/>
                      <w:color w:val="FF0000"/>
                      <w:szCs w:val="21"/>
                    </w:rPr>
                  </w:pPr>
                  <w:r>
                    <w:rPr>
                      <w:rFonts w:hint="eastAsia" w:ascii="Times New Roman" w:hAnsi="Times New Roman" w:cs="Times New Roman"/>
                      <w:color w:val="FF0000"/>
                      <w:szCs w:val="21"/>
                    </w:rPr>
                    <w:t>少量</w:t>
                  </w:r>
                </w:p>
              </w:tc>
              <w:tc>
                <w:tcPr>
                  <w:tcW w:w="2631" w:type="dxa"/>
                  <w:gridSpan w:val="5"/>
                  <w:tcBorders>
                    <w:tl2br w:val="nil"/>
                    <w:tr2bl w:val="nil"/>
                  </w:tcBorders>
                  <w:vAlign w:val="center"/>
                </w:tcPr>
                <w:p>
                  <w:pPr>
                    <w:tabs>
                      <w:tab w:val="left" w:pos="2640"/>
                    </w:tabs>
                    <w:adjustRightInd w:val="0"/>
                    <w:snapToGrid w:val="0"/>
                    <w:jc w:val="center"/>
                    <w:rPr>
                      <w:rFonts w:hint="eastAsia" w:ascii="Times New Roman" w:hAnsi="Times New Roman" w:cs="Times New Roman"/>
                      <w:color w:val="FF0000"/>
                      <w:szCs w:val="21"/>
                    </w:rPr>
                  </w:pPr>
                  <w:r>
                    <w:rPr>
                      <w:rFonts w:hint="eastAsia" w:ascii="Times New Roman" w:hAnsi="Times New Roman" w:cs="Times New Roman"/>
                      <w:color w:val="FF0000"/>
                      <w:szCs w:val="21"/>
                    </w:rPr>
                    <w:t>少量</w:t>
                  </w:r>
                </w:p>
              </w:tc>
              <w:tc>
                <w:tcPr>
                  <w:tcW w:w="975"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73"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973"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1392" w:type="dxa"/>
                  <w:tcBorders>
                    <w:tl2br w:val="nil"/>
                    <w:tr2bl w:val="nil"/>
                  </w:tcBorders>
                  <w:vAlign w:val="center"/>
                </w:tcPr>
                <w:p>
                  <w:pPr>
                    <w:tabs>
                      <w:tab w:val="left" w:pos="2640"/>
                    </w:tabs>
                    <w:adjustRightInd w:val="0"/>
                    <w:snapToGrid w:val="0"/>
                    <w:jc w:val="center"/>
                    <w:rPr>
                      <w:rFonts w:hint="default" w:ascii="Times New Roman" w:hAnsi="Times New Roman" w:cs="Times New Roman"/>
                      <w:color w:val="FF0000"/>
                      <w:szCs w:val="21"/>
                    </w:rPr>
                  </w:pPr>
                  <w:r>
                    <w:rPr>
                      <w:rFonts w:hint="default" w:ascii="Times New Roman" w:hAnsi="Times New Roman" w:cs="Times New Roman"/>
                      <w:color w:val="FF0000"/>
                      <w:szCs w:val="21"/>
                    </w:rPr>
                    <w:t>恶臭</w:t>
                  </w:r>
                  <w:r>
                    <w:rPr>
                      <w:rStyle w:val="15"/>
                      <w:rFonts w:hint="default" w:ascii="Times New Roman" w:hAnsi="Times New Roman" w:cs="Times New Roman"/>
                      <w:color w:val="FF0000"/>
                      <w:lang w:eastAsia="zh-CN"/>
                    </w:rPr>
                    <w:t>（NH</w:t>
                  </w:r>
                  <w:r>
                    <w:rPr>
                      <w:rStyle w:val="15"/>
                      <w:rFonts w:hint="default" w:ascii="Times New Roman" w:hAnsi="Times New Roman" w:cs="Times New Roman"/>
                      <w:color w:val="FF0000"/>
                      <w:vertAlign w:val="subscript"/>
                      <w:lang w:eastAsia="zh-CN"/>
                    </w:rPr>
                    <w:t>3</w:t>
                  </w:r>
                  <w:r>
                    <w:rPr>
                      <w:rStyle w:val="15"/>
                      <w:rFonts w:hint="default" w:ascii="Times New Roman" w:hAnsi="Times New Roman" w:cs="Times New Roman"/>
                      <w:color w:val="FF0000"/>
                      <w:lang w:eastAsia="zh-CN"/>
                    </w:rPr>
                    <w:t>、H</w:t>
                  </w:r>
                  <w:r>
                    <w:rPr>
                      <w:rStyle w:val="15"/>
                      <w:rFonts w:hint="default" w:ascii="Times New Roman" w:hAnsi="Times New Roman" w:cs="Times New Roman"/>
                      <w:color w:val="FF0000"/>
                      <w:vertAlign w:val="subscript"/>
                      <w:lang w:eastAsia="zh-CN"/>
                    </w:rPr>
                    <w:t>2</w:t>
                  </w:r>
                  <w:r>
                    <w:rPr>
                      <w:rStyle w:val="15"/>
                      <w:rFonts w:hint="default" w:ascii="Times New Roman" w:hAnsi="Times New Roman" w:cs="Times New Roman"/>
                      <w:color w:val="FF0000"/>
                      <w:lang w:eastAsia="zh-CN"/>
                    </w:rPr>
                    <w:t>S）</w:t>
                  </w:r>
                </w:p>
              </w:tc>
              <w:tc>
                <w:tcPr>
                  <w:tcW w:w="1820" w:type="dxa"/>
                  <w:gridSpan w:val="3"/>
                  <w:tcBorders>
                    <w:tl2br w:val="nil"/>
                    <w:tr2bl w:val="nil"/>
                  </w:tcBorders>
                  <w:vAlign w:val="center"/>
                </w:tcPr>
                <w:p>
                  <w:pPr>
                    <w:adjustRightInd w:val="0"/>
                    <w:snapToGrid w:val="0"/>
                    <w:jc w:val="center"/>
                    <w:rPr>
                      <w:rFonts w:hint="eastAsia" w:ascii="Times New Roman" w:hAnsi="Times New Roman" w:cs="Times New Roman"/>
                      <w:color w:val="FF0000"/>
                      <w:szCs w:val="21"/>
                    </w:rPr>
                  </w:pPr>
                  <w:r>
                    <w:rPr>
                      <w:rFonts w:hint="eastAsia" w:ascii="Times New Roman" w:hAnsi="Times New Roman" w:cs="Times New Roman"/>
                      <w:color w:val="FF0000"/>
                      <w:szCs w:val="21"/>
                    </w:rPr>
                    <w:t>少量</w:t>
                  </w:r>
                </w:p>
              </w:tc>
              <w:tc>
                <w:tcPr>
                  <w:tcW w:w="2631" w:type="dxa"/>
                  <w:gridSpan w:val="5"/>
                  <w:tcBorders>
                    <w:tl2br w:val="nil"/>
                    <w:tr2bl w:val="nil"/>
                  </w:tcBorders>
                  <w:vAlign w:val="center"/>
                </w:tcPr>
                <w:p>
                  <w:pPr>
                    <w:adjustRightInd w:val="0"/>
                    <w:snapToGrid w:val="0"/>
                    <w:jc w:val="center"/>
                    <w:rPr>
                      <w:rFonts w:hint="eastAsia" w:ascii="Times New Roman" w:hAnsi="Times New Roman" w:cs="Times New Roman"/>
                      <w:color w:val="FF0000"/>
                      <w:szCs w:val="21"/>
                    </w:rPr>
                  </w:pPr>
                  <w:r>
                    <w:rPr>
                      <w:rFonts w:hint="eastAsia" w:ascii="Times New Roman" w:hAnsi="Times New Roman" w:cs="Times New Roman"/>
                      <w:color w:val="FF0000"/>
                      <w:szCs w:val="21"/>
                    </w:rPr>
                    <w:t>少量</w:t>
                  </w:r>
                </w:p>
              </w:tc>
              <w:tc>
                <w:tcPr>
                  <w:tcW w:w="975"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73" w:type="dxa"/>
                  <w:vMerge w:val="restart"/>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水污染物</w:t>
                  </w:r>
                </w:p>
              </w:tc>
              <w:tc>
                <w:tcPr>
                  <w:tcW w:w="973" w:type="dxa"/>
                  <w:tcBorders>
                    <w:tl2br w:val="nil"/>
                    <w:tr2bl w:val="nil"/>
                  </w:tcBorders>
                  <w:vAlign w:val="center"/>
                </w:tcPr>
                <w:p>
                  <w:pPr>
                    <w:tabs>
                      <w:tab w:val="left" w:pos="2640"/>
                    </w:tabs>
                    <w:adjustRightInd w:val="0"/>
                    <w:snapToGrid w:val="0"/>
                    <w:jc w:val="center"/>
                    <w:rPr>
                      <w:rFonts w:ascii="Times New Roman" w:hAnsi="Times New Roman" w:cs="Times New Roman"/>
                      <w:b/>
                      <w:bCs/>
                      <w:color w:val="FF0000"/>
                      <w:szCs w:val="21"/>
                    </w:rPr>
                  </w:pPr>
                </w:p>
              </w:tc>
              <w:tc>
                <w:tcPr>
                  <w:tcW w:w="1392" w:type="dxa"/>
                  <w:tcBorders>
                    <w:tl2br w:val="nil"/>
                    <w:tr2bl w:val="nil"/>
                  </w:tcBorders>
                  <w:vAlign w:val="center"/>
                </w:tcPr>
                <w:p>
                  <w:pPr>
                    <w:tabs>
                      <w:tab w:val="left" w:pos="2640"/>
                    </w:tabs>
                    <w:adjustRightInd w:val="0"/>
                    <w:snapToGrid w:val="0"/>
                    <w:jc w:val="center"/>
                    <w:rPr>
                      <w:rFonts w:ascii="Times New Roman" w:hAnsi="Times New Roman" w:cs="Times New Roman"/>
                      <w:b/>
                      <w:bCs/>
                      <w:color w:val="FF0000"/>
                      <w:szCs w:val="21"/>
                    </w:rPr>
                  </w:pPr>
                  <w:r>
                    <w:rPr>
                      <w:rFonts w:hint="eastAsia" w:ascii="Times New Roman" w:hAnsi="Times New Roman" w:cs="Times New Roman"/>
                      <w:b/>
                      <w:bCs/>
                      <w:color w:val="FF0000"/>
                      <w:szCs w:val="21"/>
                    </w:rPr>
                    <w:t>污染物名称</w:t>
                  </w:r>
                </w:p>
              </w:tc>
              <w:tc>
                <w:tcPr>
                  <w:tcW w:w="783" w:type="dxa"/>
                  <w:tcBorders>
                    <w:tl2br w:val="nil"/>
                    <w:tr2bl w:val="nil"/>
                  </w:tcBorders>
                  <w:vAlign w:val="center"/>
                </w:tcPr>
                <w:p>
                  <w:pPr>
                    <w:tabs>
                      <w:tab w:val="left" w:pos="2640"/>
                    </w:tabs>
                    <w:adjustRightInd w:val="0"/>
                    <w:snapToGrid w:val="0"/>
                    <w:jc w:val="center"/>
                    <w:rPr>
                      <w:rFonts w:ascii="Times New Roman" w:hAnsi="Times New Roman" w:cs="Times New Roman"/>
                      <w:b/>
                      <w:bCs/>
                      <w:color w:val="FF0000"/>
                      <w:szCs w:val="21"/>
                    </w:rPr>
                  </w:pPr>
                  <w:r>
                    <w:rPr>
                      <w:rFonts w:hint="eastAsia" w:ascii="Times New Roman" w:hAnsi="Times New Roman" w:cs="Times New Roman"/>
                      <w:b/>
                      <w:bCs/>
                      <w:color w:val="FF0000"/>
                      <w:szCs w:val="21"/>
                    </w:rPr>
                    <w:t>废水量t/a</w:t>
                  </w:r>
                </w:p>
              </w:tc>
              <w:tc>
                <w:tcPr>
                  <w:tcW w:w="1037" w:type="dxa"/>
                  <w:gridSpan w:val="2"/>
                  <w:tcBorders>
                    <w:tl2br w:val="nil"/>
                    <w:tr2bl w:val="nil"/>
                  </w:tcBorders>
                  <w:vAlign w:val="center"/>
                </w:tcPr>
                <w:p>
                  <w:pPr>
                    <w:tabs>
                      <w:tab w:val="left" w:pos="2640"/>
                    </w:tabs>
                    <w:adjustRightInd w:val="0"/>
                    <w:snapToGrid w:val="0"/>
                    <w:jc w:val="center"/>
                    <w:rPr>
                      <w:rFonts w:ascii="Times New Roman" w:hAnsi="Times New Roman" w:cs="Times New Roman"/>
                      <w:b/>
                      <w:bCs/>
                      <w:color w:val="FF0000"/>
                      <w:szCs w:val="21"/>
                    </w:rPr>
                  </w:pPr>
                  <w:r>
                    <w:rPr>
                      <w:rFonts w:hint="eastAsia" w:ascii="Times New Roman" w:hAnsi="Times New Roman" w:cs="Times New Roman"/>
                      <w:b/>
                      <w:bCs/>
                      <w:color w:val="FF0000"/>
                      <w:szCs w:val="21"/>
                    </w:rPr>
                    <w:t>产生浓度mg/L</w:t>
                  </w:r>
                </w:p>
              </w:tc>
              <w:tc>
                <w:tcPr>
                  <w:tcW w:w="825" w:type="dxa"/>
                  <w:tcBorders>
                    <w:tl2br w:val="nil"/>
                    <w:tr2bl w:val="nil"/>
                  </w:tcBorders>
                  <w:vAlign w:val="center"/>
                </w:tcPr>
                <w:p>
                  <w:pPr>
                    <w:tabs>
                      <w:tab w:val="left" w:pos="2640"/>
                    </w:tabs>
                    <w:adjustRightInd w:val="0"/>
                    <w:snapToGrid w:val="0"/>
                    <w:jc w:val="center"/>
                    <w:rPr>
                      <w:rFonts w:ascii="Times New Roman" w:hAnsi="Times New Roman" w:cs="Times New Roman"/>
                      <w:b/>
                      <w:bCs/>
                      <w:color w:val="FF0000"/>
                      <w:szCs w:val="21"/>
                    </w:rPr>
                  </w:pPr>
                  <w:r>
                    <w:rPr>
                      <w:rFonts w:hint="eastAsia" w:ascii="Times New Roman" w:hAnsi="Times New Roman" w:cs="Times New Roman"/>
                      <w:b/>
                      <w:bCs/>
                      <w:color w:val="FF0000"/>
                      <w:szCs w:val="21"/>
                    </w:rPr>
                    <w:t>产生量t/a</w:t>
                  </w:r>
                </w:p>
              </w:tc>
              <w:tc>
                <w:tcPr>
                  <w:tcW w:w="888" w:type="dxa"/>
                  <w:gridSpan w:val="2"/>
                  <w:tcBorders>
                    <w:tl2br w:val="nil"/>
                    <w:tr2bl w:val="nil"/>
                  </w:tcBorders>
                  <w:vAlign w:val="center"/>
                </w:tcPr>
                <w:p>
                  <w:pPr>
                    <w:tabs>
                      <w:tab w:val="left" w:pos="2640"/>
                    </w:tabs>
                    <w:adjustRightInd w:val="0"/>
                    <w:snapToGrid w:val="0"/>
                    <w:jc w:val="center"/>
                    <w:rPr>
                      <w:rFonts w:ascii="Times New Roman" w:hAnsi="Times New Roman" w:cs="Times New Roman"/>
                      <w:b/>
                      <w:bCs/>
                      <w:color w:val="FF0000"/>
                      <w:szCs w:val="21"/>
                    </w:rPr>
                  </w:pPr>
                  <w:r>
                    <w:rPr>
                      <w:rFonts w:hint="eastAsia" w:ascii="Times New Roman" w:hAnsi="Times New Roman" w:cs="Times New Roman"/>
                      <w:b/>
                      <w:bCs/>
                      <w:color w:val="FF0000"/>
                      <w:szCs w:val="21"/>
                    </w:rPr>
                    <w:t>排放浓度mg/L</w:t>
                  </w:r>
                </w:p>
              </w:tc>
              <w:tc>
                <w:tcPr>
                  <w:tcW w:w="918" w:type="dxa"/>
                  <w:gridSpan w:val="2"/>
                  <w:tcBorders>
                    <w:tl2br w:val="nil"/>
                    <w:tr2bl w:val="nil"/>
                  </w:tcBorders>
                  <w:vAlign w:val="center"/>
                </w:tcPr>
                <w:p>
                  <w:pPr>
                    <w:tabs>
                      <w:tab w:val="left" w:pos="2640"/>
                    </w:tabs>
                    <w:adjustRightInd w:val="0"/>
                    <w:snapToGrid w:val="0"/>
                    <w:jc w:val="center"/>
                    <w:rPr>
                      <w:rFonts w:ascii="Times New Roman" w:hAnsi="Times New Roman" w:cs="Times New Roman"/>
                      <w:b/>
                      <w:bCs/>
                      <w:color w:val="FF0000"/>
                      <w:szCs w:val="21"/>
                    </w:rPr>
                  </w:pPr>
                  <w:r>
                    <w:rPr>
                      <w:rFonts w:hint="eastAsia" w:ascii="Times New Roman" w:hAnsi="Times New Roman" w:cs="Times New Roman"/>
                      <w:b/>
                      <w:bCs/>
                      <w:color w:val="FF0000"/>
                      <w:szCs w:val="21"/>
                    </w:rPr>
                    <w:t>排放量t/a</w:t>
                  </w:r>
                </w:p>
              </w:tc>
              <w:tc>
                <w:tcPr>
                  <w:tcW w:w="975" w:type="dxa"/>
                  <w:tcBorders>
                    <w:tl2br w:val="nil"/>
                    <w:tr2bl w:val="nil"/>
                  </w:tcBorders>
                  <w:vAlign w:val="center"/>
                </w:tcPr>
                <w:p>
                  <w:pPr>
                    <w:tabs>
                      <w:tab w:val="left" w:pos="2640"/>
                    </w:tabs>
                    <w:adjustRightInd w:val="0"/>
                    <w:snapToGrid w:val="0"/>
                    <w:jc w:val="center"/>
                    <w:rPr>
                      <w:rFonts w:ascii="Times New Roman" w:hAnsi="Times New Roman" w:cs="Times New Roman"/>
                      <w:b/>
                      <w:bCs/>
                      <w:color w:val="FF0000"/>
                      <w:szCs w:val="21"/>
                    </w:rPr>
                  </w:pPr>
                  <w:r>
                    <w:rPr>
                      <w:rFonts w:hint="eastAsia" w:ascii="Times New Roman" w:hAnsi="Times New Roman" w:cs="Times New Roman"/>
                      <w:b/>
                      <w:bCs/>
                      <w:color w:val="FF0000"/>
                      <w:szCs w:val="21"/>
                    </w:rPr>
                    <w:t>排放去向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73"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973" w:type="dxa"/>
                  <w:vMerge w:val="restart"/>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生活污水</w:t>
                  </w:r>
                  <w:r>
                    <w:rPr>
                      <w:rFonts w:hint="eastAsia" w:ascii="Times New Roman" w:hAnsi="Times New Roman" w:cs="Times New Roman"/>
                      <w:color w:val="FF0000"/>
                      <w:szCs w:val="21"/>
                      <w:lang w:eastAsia="zh-CN"/>
                    </w:rPr>
                    <w:t>（一期）</w:t>
                  </w:r>
                </w:p>
              </w:tc>
              <w:tc>
                <w:tcPr>
                  <w:tcW w:w="1392" w:type="dxa"/>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COD</w:t>
                  </w:r>
                </w:p>
              </w:tc>
              <w:tc>
                <w:tcPr>
                  <w:tcW w:w="783" w:type="dxa"/>
                  <w:vMerge w:val="restart"/>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lang w:val="en-US" w:eastAsia="zh-CN"/>
                    </w:rPr>
                    <w:t>84</w:t>
                  </w:r>
                </w:p>
              </w:tc>
              <w:tc>
                <w:tcPr>
                  <w:tcW w:w="1037" w:type="dxa"/>
                  <w:gridSpan w:val="2"/>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300</w:t>
                  </w:r>
                </w:p>
              </w:tc>
              <w:tc>
                <w:tcPr>
                  <w:tcW w:w="825" w:type="dxa"/>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lang w:val="en-US" w:eastAsia="zh-CN"/>
                    </w:rPr>
                    <w:t>0.252</w:t>
                  </w:r>
                </w:p>
              </w:tc>
              <w:tc>
                <w:tcPr>
                  <w:tcW w:w="888" w:type="dxa"/>
                  <w:gridSpan w:val="2"/>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50</w:t>
                  </w:r>
                </w:p>
              </w:tc>
              <w:tc>
                <w:tcPr>
                  <w:tcW w:w="918" w:type="dxa"/>
                  <w:gridSpan w:val="2"/>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lang w:val="en-US" w:eastAsia="zh-CN"/>
                    </w:rPr>
                    <w:t>0.004</w:t>
                  </w:r>
                </w:p>
              </w:tc>
              <w:tc>
                <w:tcPr>
                  <w:tcW w:w="975" w:type="dxa"/>
                  <w:vMerge w:val="restart"/>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污水处理厂统一处理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73"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973"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1392" w:type="dxa"/>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SS</w:t>
                  </w:r>
                </w:p>
              </w:tc>
              <w:tc>
                <w:tcPr>
                  <w:tcW w:w="783"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1037" w:type="dxa"/>
                  <w:gridSpan w:val="2"/>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250</w:t>
                  </w:r>
                </w:p>
              </w:tc>
              <w:tc>
                <w:tcPr>
                  <w:tcW w:w="825" w:type="dxa"/>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lang w:val="en-US" w:eastAsia="zh-CN"/>
                    </w:rPr>
                    <w:t>0.021</w:t>
                  </w:r>
                </w:p>
              </w:tc>
              <w:tc>
                <w:tcPr>
                  <w:tcW w:w="888" w:type="dxa"/>
                  <w:gridSpan w:val="2"/>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10</w:t>
                  </w:r>
                </w:p>
              </w:tc>
              <w:tc>
                <w:tcPr>
                  <w:tcW w:w="918" w:type="dxa"/>
                  <w:gridSpan w:val="2"/>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lang w:val="en-US" w:eastAsia="zh-CN"/>
                    </w:rPr>
                    <w:t>0.001</w:t>
                  </w:r>
                </w:p>
              </w:tc>
              <w:tc>
                <w:tcPr>
                  <w:tcW w:w="975"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73"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973"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1392" w:type="dxa"/>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NH</w:t>
                  </w:r>
                  <w:r>
                    <w:rPr>
                      <w:rFonts w:hint="eastAsia" w:ascii="Times New Roman" w:hAnsi="Times New Roman" w:cs="Times New Roman"/>
                      <w:color w:val="FF0000"/>
                      <w:szCs w:val="21"/>
                      <w:vertAlign w:val="subscript"/>
                    </w:rPr>
                    <w:t>3</w:t>
                  </w:r>
                  <w:r>
                    <w:rPr>
                      <w:rFonts w:hint="eastAsia" w:ascii="Times New Roman" w:hAnsi="Times New Roman" w:cs="Times New Roman"/>
                      <w:color w:val="FF0000"/>
                      <w:szCs w:val="21"/>
                    </w:rPr>
                    <w:t>-N</w:t>
                  </w:r>
                </w:p>
              </w:tc>
              <w:tc>
                <w:tcPr>
                  <w:tcW w:w="783"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1037" w:type="dxa"/>
                  <w:gridSpan w:val="2"/>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30</w:t>
                  </w:r>
                </w:p>
              </w:tc>
              <w:tc>
                <w:tcPr>
                  <w:tcW w:w="825" w:type="dxa"/>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lang w:val="en-US" w:eastAsia="zh-CN"/>
                    </w:rPr>
                    <w:t>0.003</w:t>
                  </w:r>
                </w:p>
              </w:tc>
              <w:tc>
                <w:tcPr>
                  <w:tcW w:w="888" w:type="dxa"/>
                  <w:gridSpan w:val="2"/>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5</w:t>
                  </w:r>
                </w:p>
              </w:tc>
              <w:tc>
                <w:tcPr>
                  <w:tcW w:w="918" w:type="dxa"/>
                  <w:gridSpan w:val="2"/>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lang w:val="en-US" w:eastAsia="zh-CN"/>
                    </w:rPr>
                    <w:t>0.0004</w:t>
                  </w:r>
                </w:p>
              </w:tc>
              <w:tc>
                <w:tcPr>
                  <w:tcW w:w="975"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73"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973"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1392" w:type="dxa"/>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TP</w:t>
                  </w:r>
                </w:p>
              </w:tc>
              <w:tc>
                <w:tcPr>
                  <w:tcW w:w="783"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1037" w:type="dxa"/>
                  <w:gridSpan w:val="2"/>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5</w:t>
                  </w:r>
                </w:p>
              </w:tc>
              <w:tc>
                <w:tcPr>
                  <w:tcW w:w="825" w:type="dxa"/>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lang w:val="en-US" w:eastAsia="zh-CN"/>
                    </w:rPr>
                    <w:t>0.0004</w:t>
                  </w:r>
                </w:p>
              </w:tc>
              <w:tc>
                <w:tcPr>
                  <w:tcW w:w="888" w:type="dxa"/>
                  <w:gridSpan w:val="2"/>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0.5</w:t>
                  </w:r>
                </w:p>
              </w:tc>
              <w:tc>
                <w:tcPr>
                  <w:tcW w:w="918" w:type="dxa"/>
                  <w:gridSpan w:val="2"/>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lang w:val="en-US" w:eastAsia="zh-CN"/>
                    </w:rPr>
                    <w:t>0.00004</w:t>
                  </w:r>
                </w:p>
              </w:tc>
              <w:tc>
                <w:tcPr>
                  <w:tcW w:w="975"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73"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973" w:type="dxa"/>
                  <w:vMerge w:val="restart"/>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生活污水</w:t>
                  </w:r>
                  <w:r>
                    <w:rPr>
                      <w:rFonts w:hint="eastAsia" w:ascii="Times New Roman" w:hAnsi="Times New Roman" w:cs="Times New Roman"/>
                      <w:color w:val="FF0000"/>
                      <w:szCs w:val="21"/>
                      <w:lang w:eastAsia="zh-CN"/>
                    </w:rPr>
                    <w:t>（二期）</w:t>
                  </w:r>
                </w:p>
              </w:tc>
              <w:tc>
                <w:tcPr>
                  <w:tcW w:w="1392" w:type="dxa"/>
                  <w:tcBorders>
                    <w:tl2br w:val="nil"/>
                    <w:tr2bl w:val="nil"/>
                  </w:tcBorders>
                  <w:vAlign w:val="center"/>
                </w:tcPr>
                <w:p>
                  <w:pPr>
                    <w:tabs>
                      <w:tab w:val="left" w:pos="2640"/>
                    </w:tabs>
                    <w:adjustRightInd w:val="0"/>
                    <w:snapToGrid w:val="0"/>
                    <w:jc w:val="center"/>
                    <w:rPr>
                      <w:rFonts w:hint="eastAsia" w:ascii="Times New Roman" w:hAnsi="Times New Roman" w:cs="Times New Roman"/>
                      <w:color w:val="FF0000"/>
                      <w:szCs w:val="21"/>
                    </w:rPr>
                  </w:pPr>
                  <w:r>
                    <w:rPr>
                      <w:rFonts w:hint="eastAsia" w:ascii="Times New Roman" w:hAnsi="Times New Roman" w:cs="Times New Roman"/>
                      <w:color w:val="FF0000"/>
                      <w:szCs w:val="21"/>
                    </w:rPr>
                    <w:t>COD</w:t>
                  </w:r>
                </w:p>
              </w:tc>
              <w:tc>
                <w:tcPr>
                  <w:tcW w:w="783" w:type="dxa"/>
                  <w:vMerge w:val="restart"/>
                  <w:tcBorders>
                    <w:tl2br w:val="nil"/>
                    <w:tr2bl w:val="nil"/>
                  </w:tcBorders>
                  <w:vAlign w:val="center"/>
                </w:tcPr>
                <w:p>
                  <w:pPr>
                    <w:tabs>
                      <w:tab w:val="left" w:pos="2640"/>
                    </w:tabs>
                    <w:adjustRightInd w:val="0"/>
                    <w:snapToGrid w:val="0"/>
                    <w:jc w:val="center"/>
                    <w:rPr>
                      <w:rFonts w:hint="eastAsia"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196</w:t>
                  </w:r>
                </w:p>
              </w:tc>
              <w:tc>
                <w:tcPr>
                  <w:tcW w:w="1037" w:type="dxa"/>
                  <w:gridSpan w:val="2"/>
                  <w:tcBorders>
                    <w:tl2br w:val="nil"/>
                    <w:tr2bl w:val="nil"/>
                  </w:tcBorders>
                  <w:vAlign w:val="center"/>
                </w:tcPr>
                <w:p>
                  <w:pPr>
                    <w:tabs>
                      <w:tab w:val="left" w:pos="2640"/>
                    </w:tabs>
                    <w:adjustRightInd w:val="0"/>
                    <w:snapToGrid w:val="0"/>
                    <w:jc w:val="center"/>
                    <w:rPr>
                      <w:rFonts w:hint="eastAsia" w:ascii="Times New Roman" w:hAnsi="Times New Roman" w:cs="Times New Roman"/>
                      <w:color w:val="FF0000"/>
                      <w:szCs w:val="21"/>
                    </w:rPr>
                  </w:pPr>
                  <w:r>
                    <w:rPr>
                      <w:rFonts w:hint="eastAsia" w:ascii="Times New Roman" w:hAnsi="Times New Roman" w:cs="Times New Roman"/>
                      <w:color w:val="FF0000"/>
                      <w:szCs w:val="21"/>
                    </w:rPr>
                    <w:t>300</w:t>
                  </w:r>
                </w:p>
              </w:tc>
              <w:tc>
                <w:tcPr>
                  <w:tcW w:w="825" w:type="dxa"/>
                  <w:tcBorders>
                    <w:tl2br w:val="nil"/>
                    <w:tr2bl w:val="nil"/>
                  </w:tcBorders>
                  <w:vAlign w:val="center"/>
                </w:tcPr>
                <w:p>
                  <w:pPr>
                    <w:tabs>
                      <w:tab w:val="left" w:pos="2640"/>
                    </w:tabs>
                    <w:adjustRightInd w:val="0"/>
                    <w:snapToGrid w:val="0"/>
                    <w:jc w:val="center"/>
                    <w:rPr>
                      <w:rFonts w:hint="eastAsia" w:ascii="Times New Roman" w:hAnsi="Times New Roman" w:cs="Times New Roman"/>
                      <w:color w:val="FF0000"/>
                      <w:szCs w:val="21"/>
                    </w:rPr>
                  </w:pPr>
                  <w:r>
                    <w:rPr>
                      <w:rFonts w:hint="eastAsia" w:ascii="Times New Roman" w:hAnsi="Times New Roman" w:cs="Times New Roman"/>
                      <w:color w:val="FF0000"/>
                      <w:szCs w:val="21"/>
                      <w:lang w:val="en-US" w:eastAsia="zh-CN"/>
                    </w:rPr>
                    <w:t>0.589</w:t>
                  </w:r>
                </w:p>
              </w:tc>
              <w:tc>
                <w:tcPr>
                  <w:tcW w:w="888" w:type="dxa"/>
                  <w:gridSpan w:val="2"/>
                  <w:tcBorders>
                    <w:tl2br w:val="nil"/>
                    <w:tr2bl w:val="nil"/>
                  </w:tcBorders>
                  <w:vAlign w:val="center"/>
                </w:tcPr>
                <w:p>
                  <w:pPr>
                    <w:tabs>
                      <w:tab w:val="left" w:pos="2640"/>
                    </w:tabs>
                    <w:adjustRightInd w:val="0"/>
                    <w:snapToGrid w:val="0"/>
                    <w:jc w:val="center"/>
                    <w:rPr>
                      <w:rFonts w:hint="eastAsia" w:ascii="Times New Roman" w:hAnsi="Times New Roman" w:cs="Times New Roman"/>
                      <w:color w:val="FF0000"/>
                      <w:szCs w:val="21"/>
                    </w:rPr>
                  </w:pPr>
                  <w:r>
                    <w:rPr>
                      <w:rFonts w:hint="eastAsia" w:ascii="Times New Roman" w:hAnsi="Times New Roman" w:cs="Times New Roman"/>
                      <w:color w:val="FF0000"/>
                      <w:szCs w:val="21"/>
                    </w:rPr>
                    <w:t>50</w:t>
                  </w:r>
                </w:p>
              </w:tc>
              <w:tc>
                <w:tcPr>
                  <w:tcW w:w="918" w:type="dxa"/>
                  <w:gridSpan w:val="2"/>
                  <w:tcBorders>
                    <w:tl2br w:val="nil"/>
                    <w:tr2bl w:val="nil"/>
                  </w:tcBorders>
                  <w:vAlign w:val="center"/>
                </w:tcPr>
                <w:p>
                  <w:pPr>
                    <w:tabs>
                      <w:tab w:val="left" w:pos="2640"/>
                    </w:tabs>
                    <w:adjustRightInd w:val="0"/>
                    <w:snapToGrid w:val="0"/>
                    <w:jc w:val="center"/>
                    <w:rPr>
                      <w:rFonts w:hint="eastAsia" w:ascii="Times New Roman" w:hAnsi="Times New Roman" w:cs="Times New Roman"/>
                      <w:color w:val="FF0000"/>
                      <w:szCs w:val="21"/>
                    </w:rPr>
                  </w:pPr>
                  <w:r>
                    <w:rPr>
                      <w:rFonts w:hint="eastAsia" w:ascii="Times New Roman" w:hAnsi="Times New Roman" w:cs="Times New Roman"/>
                      <w:color w:val="FF0000"/>
                      <w:szCs w:val="21"/>
                      <w:lang w:val="en-US" w:eastAsia="zh-CN"/>
                    </w:rPr>
                    <w:t>0.010</w:t>
                  </w:r>
                </w:p>
              </w:tc>
              <w:tc>
                <w:tcPr>
                  <w:tcW w:w="975"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73"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973"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1392" w:type="dxa"/>
                  <w:tcBorders>
                    <w:tl2br w:val="nil"/>
                    <w:tr2bl w:val="nil"/>
                  </w:tcBorders>
                  <w:vAlign w:val="center"/>
                </w:tcPr>
                <w:p>
                  <w:pPr>
                    <w:tabs>
                      <w:tab w:val="left" w:pos="2640"/>
                    </w:tabs>
                    <w:adjustRightInd w:val="0"/>
                    <w:snapToGrid w:val="0"/>
                    <w:jc w:val="center"/>
                    <w:rPr>
                      <w:rFonts w:hint="eastAsia" w:ascii="Times New Roman" w:hAnsi="Times New Roman" w:cs="Times New Roman"/>
                      <w:color w:val="FF0000"/>
                      <w:szCs w:val="21"/>
                    </w:rPr>
                  </w:pPr>
                  <w:r>
                    <w:rPr>
                      <w:rFonts w:hint="eastAsia" w:ascii="Times New Roman" w:hAnsi="Times New Roman" w:cs="Times New Roman"/>
                      <w:color w:val="FF0000"/>
                      <w:szCs w:val="21"/>
                    </w:rPr>
                    <w:t>SS</w:t>
                  </w:r>
                </w:p>
              </w:tc>
              <w:tc>
                <w:tcPr>
                  <w:tcW w:w="783"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1037" w:type="dxa"/>
                  <w:gridSpan w:val="2"/>
                  <w:tcBorders>
                    <w:tl2br w:val="nil"/>
                    <w:tr2bl w:val="nil"/>
                  </w:tcBorders>
                  <w:vAlign w:val="center"/>
                </w:tcPr>
                <w:p>
                  <w:pPr>
                    <w:tabs>
                      <w:tab w:val="left" w:pos="2640"/>
                    </w:tabs>
                    <w:adjustRightInd w:val="0"/>
                    <w:snapToGrid w:val="0"/>
                    <w:jc w:val="center"/>
                    <w:rPr>
                      <w:rFonts w:hint="eastAsia" w:ascii="Times New Roman" w:hAnsi="Times New Roman" w:cs="Times New Roman"/>
                      <w:color w:val="FF0000"/>
                      <w:szCs w:val="21"/>
                    </w:rPr>
                  </w:pPr>
                  <w:r>
                    <w:rPr>
                      <w:rFonts w:hint="eastAsia" w:ascii="Times New Roman" w:hAnsi="Times New Roman" w:cs="Times New Roman"/>
                      <w:color w:val="FF0000"/>
                      <w:szCs w:val="21"/>
                    </w:rPr>
                    <w:t>250</w:t>
                  </w:r>
                </w:p>
              </w:tc>
              <w:tc>
                <w:tcPr>
                  <w:tcW w:w="825" w:type="dxa"/>
                  <w:tcBorders>
                    <w:tl2br w:val="nil"/>
                    <w:tr2bl w:val="nil"/>
                  </w:tcBorders>
                  <w:vAlign w:val="center"/>
                </w:tcPr>
                <w:p>
                  <w:pPr>
                    <w:tabs>
                      <w:tab w:val="left" w:pos="2640"/>
                    </w:tabs>
                    <w:adjustRightInd w:val="0"/>
                    <w:snapToGrid w:val="0"/>
                    <w:jc w:val="center"/>
                    <w:rPr>
                      <w:rFonts w:hint="eastAsia" w:ascii="Times New Roman" w:hAnsi="Times New Roman" w:cs="Times New Roman"/>
                      <w:color w:val="FF0000"/>
                      <w:szCs w:val="21"/>
                    </w:rPr>
                  </w:pPr>
                  <w:r>
                    <w:rPr>
                      <w:rFonts w:hint="eastAsia" w:ascii="Times New Roman" w:hAnsi="Times New Roman" w:cs="Times New Roman"/>
                      <w:color w:val="FF0000"/>
                      <w:szCs w:val="21"/>
                      <w:lang w:val="en-US" w:eastAsia="zh-CN"/>
                    </w:rPr>
                    <w:t>0.049</w:t>
                  </w:r>
                </w:p>
              </w:tc>
              <w:tc>
                <w:tcPr>
                  <w:tcW w:w="888" w:type="dxa"/>
                  <w:gridSpan w:val="2"/>
                  <w:tcBorders>
                    <w:tl2br w:val="nil"/>
                    <w:tr2bl w:val="nil"/>
                  </w:tcBorders>
                  <w:vAlign w:val="center"/>
                </w:tcPr>
                <w:p>
                  <w:pPr>
                    <w:tabs>
                      <w:tab w:val="left" w:pos="2640"/>
                    </w:tabs>
                    <w:adjustRightInd w:val="0"/>
                    <w:snapToGrid w:val="0"/>
                    <w:jc w:val="center"/>
                    <w:rPr>
                      <w:rFonts w:hint="eastAsia" w:ascii="Times New Roman" w:hAnsi="Times New Roman" w:cs="Times New Roman"/>
                      <w:color w:val="FF0000"/>
                      <w:szCs w:val="21"/>
                    </w:rPr>
                  </w:pPr>
                  <w:r>
                    <w:rPr>
                      <w:rFonts w:hint="eastAsia" w:ascii="Times New Roman" w:hAnsi="Times New Roman" w:cs="Times New Roman"/>
                      <w:color w:val="FF0000"/>
                      <w:szCs w:val="21"/>
                    </w:rPr>
                    <w:t>10</w:t>
                  </w:r>
                </w:p>
              </w:tc>
              <w:tc>
                <w:tcPr>
                  <w:tcW w:w="918" w:type="dxa"/>
                  <w:gridSpan w:val="2"/>
                  <w:tcBorders>
                    <w:tl2br w:val="nil"/>
                    <w:tr2bl w:val="nil"/>
                  </w:tcBorders>
                  <w:vAlign w:val="center"/>
                </w:tcPr>
                <w:p>
                  <w:pPr>
                    <w:tabs>
                      <w:tab w:val="left" w:pos="2640"/>
                    </w:tabs>
                    <w:adjustRightInd w:val="0"/>
                    <w:snapToGrid w:val="0"/>
                    <w:jc w:val="center"/>
                    <w:rPr>
                      <w:rFonts w:hint="eastAsia" w:ascii="Times New Roman" w:hAnsi="Times New Roman" w:cs="Times New Roman"/>
                      <w:color w:val="FF0000"/>
                      <w:szCs w:val="21"/>
                    </w:rPr>
                  </w:pPr>
                  <w:r>
                    <w:rPr>
                      <w:rFonts w:hint="eastAsia" w:ascii="Times New Roman" w:hAnsi="Times New Roman" w:cs="Times New Roman"/>
                      <w:color w:val="FF0000"/>
                      <w:szCs w:val="21"/>
                      <w:lang w:val="en-US" w:eastAsia="zh-CN"/>
                    </w:rPr>
                    <w:t>0.002</w:t>
                  </w:r>
                </w:p>
              </w:tc>
              <w:tc>
                <w:tcPr>
                  <w:tcW w:w="975"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73"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973"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1392" w:type="dxa"/>
                  <w:tcBorders>
                    <w:tl2br w:val="nil"/>
                    <w:tr2bl w:val="nil"/>
                  </w:tcBorders>
                  <w:vAlign w:val="center"/>
                </w:tcPr>
                <w:p>
                  <w:pPr>
                    <w:tabs>
                      <w:tab w:val="left" w:pos="2640"/>
                    </w:tabs>
                    <w:adjustRightInd w:val="0"/>
                    <w:snapToGrid w:val="0"/>
                    <w:jc w:val="center"/>
                    <w:rPr>
                      <w:rFonts w:hint="eastAsia" w:ascii="Times New Roman" w:hAnsi="Times New Roman" w:cs="Times New Roman"/>
                      <w:color w:val="FF0000"/>
                      <w:szCs w:val="21"/>
                    </w:rPr>
                  </w:pPr>
                  <w:r>
                    <w:rPr>
                      <w:rFonts w:hint="eastAsia" w:ascii="Times New Roman" w:hAnsi="Times New Roman" w:cs="Times New Roman"/>
                      <w:color w:val="FF0000"/>
                      <w:szCs w:val="21"/>
                    </w:rPr>
                    <w:t>NH</w:t>
                  </w:r>
                  <w:r>
                    <w:rPr>
                      <w:rFonts w:hint="eastAsia" w:ascii="Times New Roman" w:hAnsi="Times New Roman" w:cs="Times New Roman"/>
                      <w:color w:val="FF0000"/>
                      <w:szCs w:val="21"/>
                      <w:vertAlign w:val="subscript"/>
                    </w:rPr>
                    <w:t>3</w:t>
                  </w:r>
                  <w:r>
                    <w:rPr>
                      <w:rFonts w:hint="eastAsia" w:ascii="Times New Roman" w:hAnsi="Times New Roman" w:cs="Times New Roman"/>
                      <w:color w:val="FF0000"/>
                      <w:szCs w:val="21"/>
                    </w:rPr>
                    <w:t>-N</w:t>
                  </w:r>
                </w:p>
              </w:tc>
              <w:tc>
                <w:tcPr>
                  <w:tcW w:w="783"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1037" w:type="dxa"/>
                  <w:gridSpan w:val="2"/>
                  <w:tcBorders>
                    <w:tl2br w:val="nil"/>
                    <w:tr2bl w:val="nil"/>
                  </w:tcBorders>
                  <w:vAlign w:val="center"/>
                </w:tcPr>
                <w:p>
                  <w:pPr>
                    <w:tabs>
                      <w:tab w:val="left" w:pos="2640"/>
                    </w:tabs>
                    <w:adjustRightInd w:val="0"/>
                    <w:snapToGrid w:val="0"/>
                    <w:jc w:val="center"/>
                    <w:rPr>
                      <w:rFonts w:hint="eastAsia" w:ascii="Times New Roman" w:hAnsi="Times New Roman" w:cs="Times New Roman"/>
                      <w:color w:val="FF0000"/>
                      <w:szCs w:val="21"/>
                    </w:rPr>
                  </w:pPr>
                  <w:r>
                    <w:rPr>
                      <w:rFonts w:hint="eastAsia" w:ascii="Times New Roman" w:hAnsi="Times New Roman" w:cs="Times New Roman"/>
                      <w:color w:val="FF0000"/>
                      <w:szCs w:val="21"/>
                    </w:rPr>
                    <w:t>30</w:t>
                  </w:r>
                </w:p>
              </w:tc>
              <w:tc>
                <w:tcPr>
                  <w:tcW w:w="825" w:type="dxa"/>
                  <w:tcBorders>
                    <w:tl2br w:val="nil"/>
                    <w:tr2bl w:val="nil"/>
                  </w:tcBorders>
                  <w:vAlign w:val="center"/>
                </w:tcPr>
                <w:p>
                  <w:pPr>
                    <w:tabs>
                      <w:tab w:val="left" w:pos="2640"/>
                    </w:tabs>
                    <w:adjustRightInd w:val="0"/>
                    <w:snapToGrid w:val="0"/>
                    <w:jc w:val="center"/>
                    <w:rPr>
                      <w:rFonts w:hint="eastAsia" w:ascii="Times New Roman" w:hAnsi="Times New Roman" w:cs="Times New Roman"/>
                      <w:color w:val="FF0000"/>
                      <w:szCs w:val="21"/>
                    </w:rPr>
                  </w:pPr>
                  <w:r>
                    <w:rPr>
                      <w:rFonts w:hint="eastAsia" w:ascii="Times New Roman" w:hAnsi="Times New Roman" w:cs="Times New Roman"/>
                      <w:color w:val="FF0000"/>
                      <w:szCs w:val="21"/>
                      <w:lang w:val="en-US" w:eastAsia="zh-CN"/>
                    </w:rPr>
                    <w:t>0.006</w:t>
                  </w:r>
                </w:p>
              </w:tc>
              <w:tc>
                <w:tcPr>
                  <w:tcW w:w="888" w:type="dxa"/>
                  <w:gridSpan w:val="2"/>
                  <w:tcBorders>
                    <w:tl2br w:val="nil"/>
                    <w:tr2bl w:val="nil"/>
                  </w:tcBorders>
                  <w:vAlign w:val="center"/>
                </w:tcPr>
                <w:p>
                  <w:pPr>
                    <w:tabs>
                      <w:tab w:val="left" w:pos="2640"/>
                    </w:tabs>
                    <w:adjustRightInd w:val="0"/>
                    <w:snapToGrid w:val="0"/>
                    <w:jc w:val="center"/>
                    <w:rPr>
                      <w:rFonts w:hint="eastAsia" w:ascii="Times New Roman" w:hAnsi="Times New Roman" w:cs="Times New Roman"/>
                      <w:color w:val="FF0000"/>
                      <w:szCs w:val="21"/>
                    </w:rPr>
                  </w:pPr>
                  <w:r>
                    <w:rPr>
                      <w:rFonts w:hint="eastAsia" w:ascii="Times New Roman" w:hAnsi="Times New Roman" w:cs="Times New Roman"/>
                      <w:color w:val="FF0000"/>
                      <w:szCs w:val="21"/>
                    </w:rPr>
                    <w:t>5</w:t>
                  </w:r>
                </w:p>
              </w:tc>
              <w:tc>
                <w:tcPr>
                  <w:tcW w:w="918" w:type="dxa"/>
                  <w:gridSpan w:val="2"/>
                  <w:tcBorders>
                    <w:tl2br w:val="nil"/>
                    <w:tr2bl w:val="nil"/>
                  </w:tcBorders>
                  <w:vAlign w:val="center"/>
                </w:tcPr>
                <w:p>
                  <w:pPr>
                    <w:tabs>
                      <w:tab w:val="left" w:pos="2640"/>
                    </w:tabs>
                    <w:adjustRightInd w:val="0"/>
                    <w:snapToGrid w:val="0"/>
                    <w:jc w:val="center"/>
                    <w:rPr>
                      <w:rFonts w:hint="eastAsia" w:ascii="Times New Roman" w:hAnsi="Times New Roman" w:cs="Times New Roman"/>
                      <w:color w:val="FF0000"/>
                      <w:szCs w:val="21"/>
                    </w:rPr>
                  </w:pPr>
                  <w:r>
                    <w:rPr>
                      <w:rFonts w:hint="eastAsia" w:ascii="Times New Roman" w:hAnsi="Times New Roman" w:cs="Times New Roman"/>
                      <w:color w:val="FF0000"/>
                      <w:szCs w:val="21"/>
                      <w:lang w:val="en-US" w:eastAsia="zh-CN"/>
                    </w:rPr>
                    <w:t>0.001</w:t>
                  </w:r>
                </w:p>
              </w:tc>
              <w:tc>
                <w:tcPr>
                  <w:tcW w:w="975"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73"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973"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1392" w:type="dxa"/>
                  <w:tcBorders>
                    <w:tl2br w:val="nil"/>
                    <w:tr2bl w:val="nil"/>
                  </w:tcBorders>
                  <w:vAlign w:val="center"/>
                </w:tcPr>
                <w:p>
                  <w:pPr>
                    <w:tabs>
                      <w:tab w:val="left" w:pos="2640"/>
                    </w:tabs>
                    <w:adjustRightInd w:val="0"/>
                    <w:snapToGrid w:val="0"/>
                    <w:jc w:val="center"/>
                    <w:rPr>
                      <w:rFonts w:hint="eastAsia" w:ascii="Times New Roman" w:hAnsi="Times New Roman" w:cs="Times New Roman"/>
                      <w:color w:val="FF0000"/>
                      <w:szCs w:val="21"/>
                    </w:rPr>
                  </w:pPr>
                  <w:r>
                    <w:rPr>
                      <w:rFonts w:hint="eastAsia" w:ascii="Times New Roman" w:hAnsi="Times New Roman" w:cs="Times New Roman"/>
                      <w:color w:val="FF0000"/>
                      <w:szCs w:val="21"/>
                    </w:rPr>
                    <w:t>TP</w:t>
                  </w:r>
                </w:p>
              </w:tc>
              <w:tc>
                <w:tcPr>
                  <w:tcW w:w="783"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1037" w:type="dxa"/>
                  <w:gridSpan w:val="2"/>
                  <w:tcBorders>
                    <w:tl2br w:val="nil"/>
                    <w:tr2bl w:val="nil"/>
                  </w:tcBorders>
                  <w:vAlign w:val="center"/>
                </w:tcPr>
                <w:p>
                  <w:pPr>
                    <w:tabs>
                      <w:tab w:val="left" w:pos="2640"/>
                    </w:tabs>
                    <w:adjustRightInd w:val="0"/>
                    <w:snapToGrid w:val="0"/>
                    <w:jc w:val="center"/>
                    <w:rPr>
                      <w:rFonts w:hint="eastAsia" w:ascii="Times New Roman" w:hAnsi="Times New Roman" w:cs="Times New Roman"/>
                      <w:color w:val="FF0000"/>
                      <w:szCs w:val="21"/>
                    </w:rPr>
                  </w:pPr>
                  <w:r>
                    <w:rPr>
                      <w:rFonts w:hint="eastAsia" w:ascii="Times New Roman" w:hAnsi="Times New Roman" w:cs="Times New Roman"/>
                      <w:color w:val="FF0000"/>
                      <w:szCs w:val="21"/>
                    </w:rPr>
                    <w:t>5</w:t>
                  </w:r>
                </w:p>
              </w:tc>
              <w:tc>
                <w:tcPr>
                  <w:tcW w:w="825" w:type="dxa"/>
                  <w:tcBorders>
                    <w:tl2br w:val="nil"/>
                    <w:tr2bl w:val="nil"/>
                  </w:tcBorders>
                  <w:vAlign w:val="center"/>
                </w:tcPr>
                <w:p>
                  <w:pPr>
                    <w:tabs>
                      <w:tab w:val="left" w:pos="2640"/>
                    </w:tabs>
                    <w:adjustRightInd w:val="0"/>
                    <w:snapToGrid w:val="0"/>
                    <w:jc w:val="center"/>
                    <w:rPr>
                      <w:rFonts w:hint="eastAsia" w:ascii="Times New Roman" w:hAnsi="Times New Roman" w:cs="Times New Roman"/>
                      <w:color w:val="FF0000"/>
                      <w:szCs w:val="21"/>
                    </w:rPr>
                  </w:pPr>
                  <w:r>
                    <w:rPr>
                      <w:rFonts w:hint="eastAsia" w:ascii="Times New Roman" w:hAnsi="Times New Roman" w:cs="Times New Roman"/>
                      <w:color w:val="FF0000"/>
                      <w:szCs w:val="21"/>
                      <w:lang w:val="en-US" w:eastAsia="zh-CN"/>
                    </w:rPr>
                    <w:t>0.001</w:t>
                  </w:r>
                </w:p>
              </w:tc>
              <w:tc>
                <w:tcPr>
                  <w:tcW w:w="888" w:type="dxa"/>
                  <w:gridSpan w:val="2"/>
                  <w:tcBorders>
                    <w:tl2br w:val="nil"/>
                    <w:tr2bl w:val="nil"/>
                  </w:tcBorders>
                  <w:vAlign w:val="center"/>
                </w:tcPr>
                <w:p>
                  <w:pPr>
                    <w:tabs>
                      <w:tab w:val="left" w:pos="2640"/>
                    </w:tabs>
                    <w:adjustRightInd w:val="0"/>
                    <w:snapToGrid w:val="0"/>
                    <w:jc w:val="center"/>
                    <w:rPr>
                      <w:rFonts w:hint="eastAsia" w:ascii="Times New Roman" w:hAnsi="Times New Roman" w:cs="Times New Roman"/>
                      <w:color w:val="FF0000"/>
                      <w:szCs w:val="21"/>
                    </w:rPr>
                  </w:pPr>
                  <w:r>
                    <w:rPr>
                      <w:rFonts w:hint="eastAsia" w:ascii="Times New Roman" w:hAnsi="Times New Roman" w:cs="Times New Roman"/>
                      <w:color w:val="FF0000"/>
                      <w:szCs w:val="21"/>
                    </w:rPr>
                    <w:t>0.5</w:t>
                  </w:r>
                </w:p>
              </w:tc>
              <w:tc>
                <w:tcPr>
                  <w:tcW w:w="918" w:type="dxa"/>
                  <w:gridSpan w:val="2"/>
                  <w:tcBorders>
                    <w:tl2br w:val="nil"/>
                    <w:tr2bl w:val="nil"/>
                  </w:tcBorders>
                  <w:vAlign w:val="center"/>
                </w:tcPr>
                <w:p>
                  <w:pPr>
                    <w:tabs>
                      <w:tab w:val="left" w:pos="2640"/>
                    </w:tabs>
                    <w:adjustRightInd w:val="0"/>
                    <w:snapToGrid w:val="0"/>
                    <w:jc w:val="center"/>
                    <w:rPr>
                      <w:rFonts w:hint="eastAsia" w:ascii="Times New Roman" w:hAnsi="Times New Roman" w:cs="Times New Roman"/>
                      <w:color w:val="FF0000"/>
                      <w:szCs w:val="21"/>
                    </w:rPr>
                  </w:pPr>
                  <w:r>
                    <w:rPr>
                      <w:rFonts w:hint="eastAsia" w:ascii="Times New Roman" w:hAnsi="Times New Roman" w:cs="Times New Roman"/>
                      <w:color w:val="FF0000"/>
                      <w:szCs w:val="21"/>
                      <w:lang w:val="en-US" w:eastAsia="zh-CN"/>
                    </w:rPr>
                    <w:t>0.0001</w:t>
                  </w:r>
                </w:p>
              </w:tc>
              <w:tc>
                <w:tcPr>
                  <w:tcW w:w="975"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973" w:type="dxa"/>
                  <w:vMerge w:val="restart"/>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固体废物</w:t>
                  </w:r>
                </w:p>
              </w:tc>
              <w:tc>
                <w:tcPr>
                  <w:tcW w:w="973" w:type="dxa"/>
                  <w:tcBorders>
                    <w:tl2br w:val="nil"/>
                    <w:tr2bl w:val="nil"/>
                  </w:tcBorders>
                  <w:vAlign w:val="center"/>
                </w:tcPr>
                <w:p>
                  <w:pPr>
                    <w:tabs>
                      <w:tab w:val="left" w:pos="2640"/>
                    </w:tabs>
                    <w:adjustRightInd w:val="0"/>
                    <w:snapToGrid w:val="0"/>
                    <w:jc w:val="center"/>
                    <w:rPr>
                      <w:rFonts w:ascii="Times New Roman" w:hAnsi="Times New Roman" w:cs="Times New Roman"/>
                      <w:b/>
                      <w:bCs/>
                      <w:color w:val="FF0000"/>
                      <w:szCs w:val="21"/>
                    </w:rPr>
                  </w:pPr>
                </w:p>
              </w:tc>
              <w:tc>
                <w:tcPr>
                  <w:tcW w:w="1392" w:type="dxa"/>
                  <w:tcBorders>
                    <w:tl2br w:val="nil"/>
                    <w:tr2bl w:val="nil"/>
                  </w:tcBorders>
                  <w:vAlign w:val="center"/>
                </w:tcPr>
                <w:p>
                  <w:pPr>
                    <w:tabs>
                      <w:tab w:val="left" w:pos="2640"/>
                    </w:tabs>
                    <w:adjustRightInd w:val="0"/>
                    <w:snapToGrid w:val="0"/>
                    <w:jc w:val="center"/>
                    <w:rPr>
                      <w:rFonts w:ascii="Times New Roman" w:hAnsi="Times New Roman" w:cs="Times New Roman"/>
                      <w:b/>
                      <w:bCs/>
                      <w:color w:val="FF0000"/>
                      <w:szCs w:val="21"/>
                    </w:rPr>
                  </w:pPr>
                  <w:r>
                    <w:rPr>
                      <w:rFonts w:hint="eastAsia" w:ascii="Times New Roman" w:hAnsi="Times New Roman" w:cs="Times New Roman"/>
                      <w:b/>
                      <w:bCs/>
                      <w:color w:val="FF0000"/>
                      <w:szCs w:val="21"/>
                    </w:rPr>
                    <w:t>污染物名称</w:t>
                  </w:r>
                </w:p>
              </w:tc>
              <w:tc>
                <w:tcPr>
                  <w:tcW w:w="783" w:type="dxa"/>
                  <w:tcBorders>
                    <w:tl2br w:val="nil"/>
                    <w:tr2bl w:val="nil"/>
                  </w:tcBorders>
                  <w:vAlign w:val="center"/>
                </w:tcPr>
                <w:p>
                  <w:pPr>
                    <w:tabs>
                      <w:tab w:val="left" w:pos="2640"/>
                    </w:tabs>
                    <w:adjustRightInd w:val="0"/>
                    <w:snapToGrid w:val="0"/>
                    <w:jc w:val="center"/>
                    <w:rPr>
                      <w:rFonts w:ascii="Times New Roman" w:hAnsi="Times New Roman" w:cs="Times New Roman"/>
                      <w:b/>
                      <w:bCs/>
                      <w:color w:val="FF0000"/>
                      <w:szCs w:val="21"/>
                    </w:rPr>
                  </w:pPr>
                  <w:r>
                    <w:rPr>
                      <w:rFonts w:hint="eastAsia" w:ascii="Times New Roman" w:hAnsi="Times New Roman" w:cs="Times New Roman"/>
                      <w:b/>
                      <w:bCs/>
                      <w:color w:val="FF0000"/>
                      <w:szCs w:val="21"/>
                    </w:rPr>
                    <w:t>产生量</w:t>
                  </w:r>
                </w:p>
              </w:tc>
              <w:tc>
                <w:tcPr>
                  <w:tcW w:w="1862" w:type="dxa"/>
                  <w:gridSpan w:val="3"/>
                  <w:tcBorders>
                    <w:tl2br w:val="nil"/>
                    <w:tr2bl w:val="nil"/>
                  </w:tcBorders>
                  <w:vAlign w:val="center"/>
                </w:tcPr>
                <w:p>
                  <w:pPr>
                    <w:tabs>
                      <w:tab w:val="left" w:pos="2640"/>
                    </w:tabs>
                    <w:adjustRightInd w:val="0"/>
                    <w:snapToGrid w:val="0"/>
                    <w:jc w:val="center"/>
                    <w:rPr>
                      <w:rFonts w:ascii="Times New Roman" w:hAnsi="Times New Roman" w:cs="Times New Roman"/>
                      <w:b/>
                      <w:bCs/>
                      <w:color w:val="FF0000"/>
                      <w:szCs w:val="21"/>
                    </w:rPr>
                  </w:pPr>
                  <w:r>
                    <w:rPr>
                      <w:rFonts w:hint="eastAsia" w:ascii="Times New Roman" w:hAnsi="Times New Roman" w:cs="Times New Roman"/>
                      <w:b/>
                      <w:bCs/>
                      <w:color w:val="FF0000"/>
                      <w:szCs w:val="21"/>
                    </w:rPr>
                    <w:t>削减量</w:t>
                  </w:r>
                </w:p>
              </w:tc>
              <w:tc>
                <w:tcPr>
                  <w:tcW w:w="1806" w:type="dxa"/>
                  <w:gridSpan w:val="4"/>
                  <w:tcBorders>
                    <w:tl2br w:val="nil"/>
                    <w:tr2bl w:val="nil"/>
                  </w:tcBorders>
                  <w:vAlign w:val="center"/>
                </w:tcPr>
                <w:p>
                  <w:pPr>
                    <w:tabs>
                      <w:tab w:val="left" w:pos="2640"/>
                    </w:tabs>
                    <w:adjustRightInd w:val="0"/>
                    <w:snapToGrid w:val="0"/>
                    <w:jc w:val="center"/>
                    <w:rPr>
                      <w:rFonts w:ascii="Times New Roman" w:hAnsi="Times New Roman" w:cs="Times New Roman"/>
                      <w:b/>
                      <w:bCs/>
                      <w:color w:val="FF0000"/>
                      <w:szCs w:val="21"/>
                    </w:rPr>
                  </w:pPr>
                  <w:r>
                    <w:rPr>
                      <w:rFonts w:hint="eastAsia" w:ascii="Times New Roman" w:hAnsi="Times New Roman" w:cs="Times New Roman"/>
                      <w:b/>
                      <w:bCs/>
                      <w:color w:val="FF0000"/>
                      <w:szCs w:val="21"/>
                    </w:rPr>
                    <w:t>外排量</w:t>
                  </w:r>
                </w:p>
              </w:tc>
              <w:tc>
                <w:tcPr>
                  <w:tcW w:w="975" w:type="dxa"/>
                  <w:tcBorders>
                    <w:tl2br w:val="nil"/>
                    <w:tr2bl w:val="nil"/>
                  </w:tcBorders>
                  <w:vAlign w:val="center"/>
                </w:tcPr>
                <w:p>
                  <w:pPr>
                    <w:tabs>
                      <w:tab w:val="left" w:pos="2640"/>
                    </w:tabs>
                    <w:adjustRightInd w:val="0"/>
                    <w:snapToGrid w:val="0"/>
                    <w:jc w:val="center"/>
                    <w:rPr>
                      <w:rFonts w:ascii="Times New Roman" w:hAnsi="Times New Roman" w:cs="Times New Roman"/>
                      <w:b/>
                      <w:bCs/>
                      <w:color w:val="FF0000"/>
                      <w:szCs w:val="21"/>
                    </w:rPr>
                  </w:pPr>
                  <w:r>
                    <w:rPr>
                      <w:rFonts w:hint="eastAsia" w:ascii="Times New Roman" w:hAnsi="Times New Roman" w:cs="Times New Roman"/>
                      <w:b/>
                      <w:bCs/>
                      <w:color w:val="FF0000"/>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73"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973" w:type="dxa"/>
                  <w:vMerge w:val="restart"/>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施工期</w:t>
                  </w:r>
                  <w:r>
                    <w:rPr>
                      <w:rFonts w:hint="eastAsia" w:ascii="Times New Roman" w:hAnsi="Times New Roman" w:cs="Times New Roman"/>
                      <w:color w:val="FF0000"/>
                      <w:szCs w:val="21"/>
                      <w:lang w:eastAsia="zh-CN"/>
                    </w:rPr>
                    <w:t>（一期）</w:t>
                  </w:r>
                </w:p>
              </w:tc>
              <w:tc>
                <w:tcPr>
                  <w:tcW w:w="1392" w:type="dxa"/>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生活垃圾</w:t>
                  </w:r>
                </w:p>
              </w:tc>
              <w:tc>
                <w:tcPr>
                  <w:tcW w:w="783" w:type="dxa"/>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lang w:val="en-US" w:eastAsia="zh-CN"/>
                    </w:rPr>
                    <w:t>1.05</w:t>
                  </w:r>
                  <w:r>
                    <w:rPr>
                      <w:rFonts w:hint="eastAsia" w:ascii="Times New Roman" w:hAnsi="Times New Roman" w:cs="Times New Roman"/>
                      <w:color w:val="FF0000"/>
                      <w:szCs w:val="21"/>
                    </w:rPr>
                    <w:t>t</w:t>
                  </w:r>
                </w:p>
              </w:tc>
              <w:tc>
                <w:tcPr>
                  <w:tcW w:w="1862" w:type="dxa"/>
                  <w:gridSpan w:val="3"/>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lang w:val="en-US" w:eastAsia="zh-CN"/>
                    </w:rPr>
                    <w:t>1.05</w:t>
                  </w:r>
                  <w:r>
                    <w:rPr>
                      <w:rFonts w:hint="eastAsia" w:ascii="Times New Roman" w:hAnsi="Times New Roman" w:cs="Times New Roman"/>
                      <w:color w:val="FF0000"/>
                      <w:szCs w:val="21"/>
                    </w:rPr>
                    <w:t>t</w:t>
                  </w:r>
                </w:p>
              </w:tc>
              <w:tc>
                <w:tcPr>
                  <w:tcW w:w="1806" w:type="dxa"/>
                  <w:gridSpan w:val="4"/>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0</w:t>
                  </w:r>
                </w:p>
              </w:tc>
              <w:tc>
                <w:tcPr>
                  <w:tcW w:w="975" w:type="dxa"/>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环卫部门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73"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973"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1392" w:type="dxa"/>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淤泥</w:t>
                  </w:r>
                </w:p>
              </w:tc>
              <w:tc>
                <w:tcPr>
                  <w:tcW w:w="783" w:type="dxa"/>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lang w:val="en-US" w:eastAsia="zh-CN"/>
                    </w:rPr>
                    <w:t>0.85</w:t>
                  </w:r>
                  <w:r>
                    <w:rPr>
                      <w:rFonts w:hint="eastAsia" w:ascii="Times New Roman" w:hAnsi="Times New Roman" w:cs="Times New Roman"/>
                      <w:color w:val="FF0000"/>
                      <w:szCs w:val="21"/>
                    </w:rPr>
                    <w:t>万m</w:t>
                  </w:r>
                  <w:r>
                    <w:rPr>
                      <w:rFonts w:hint="eastAsia" w:ascii="Times New Roman" w:hAnsi="Times New Roman" w:cs="Times New Roman"/>
                      <w:color w:val="FF0000"/>
                      <w:szCs w:val="21"/>
                      <w:vertAlign w:val="superscript"/>
                    </w:rPr>
                    <w:t>3</w:t>
                  </w:r>
                </w:p>
              </w:tc>
              <w:tc>
                <w:tcPr>
                  <w:tcW w:w="1862" w:type="dxa"/>
                  <w:gridSpan w:val="3"/>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lang w:val="en-US" w:eastAsia="zh-CN"/>
                    </w:rPr>
                    <w:t>0.85</w:t>
                  </w:r>
                  <w:r>
                    <w:rPr>
                      <w:rFonts w:hint="eastAsia" w:ascii="Times New Roman" w:hAnsi="Times New Roman" w:cs="Times New Roman"/>
                      <w:color w:val="FF0000"/>
                      <w:szCs w:val="21"/>
                    </w:rPr>
                    <w:t>万m</w:t>
                  </w:r>
                  <w:r>
                    <w:rPr>
                      <w:rFonts w:hint="eastAsia" w:ascii="Times New Roman" w:hAnsi="Times New Roman" w:cs="Times New Roman"/>
                      <w:color w:val="FF0000"/>
                      <w:szCs w:val="21"/>
                      <w:vertAlign w:val="superscript"/>
                    </w:rPr>
                    <w:t>3</w:t>
                  </w:r>
                </w:p>
              </w:tc>
              <w:tc>
                <w:tcPr>
                  <w:tcW w:w="1806" w:type="dxa"/>
                  <w:gridSpan w:val="4"/>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0</w:t>
                  </w:r>
                </w:p>
              </w:tc>
              <w:tc>
                <w:tcPr>
                  <w:tcW w:w="975" w:type="dxa"/>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回填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73"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973" w:type="dxa"/>
                  <w:vMerge w:val="restart"/>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施工期</w:t>
                  </w:r>
                  <w:r>
                    <w:rPr>
                      <w:rFonts w:hint="eastAsia" w:ascii="Times New Roman" w:hAnsi="Times New Roman" w:cs="Times New Roman"/>
                      <w:color w:val="FF0000"/>
                      <w:szCs w:val="21"/>
                      <w:lang w:eastAsia="zh-CN"/>
                    </w:rPr>
                    <w:t>（二期）</w:t>
                  </w:r>
                </w:p>
              </w:tc>
              <w:tc>
                <w:tcPr>
                  <w:tcW w:w="1392" w:type="dxa"/>
                  <w:tcBorders>
                    <w:tl2br w:val="nil"/>
                    <w:tr2bl w:val="nil"/>
                  </w:tcBorders>
                  <w:vAlign w:val="center"/>
                </w:tcPr>
                <w:p>
                  <w:pPr>
                    <w:tabs>
                      <w:tab w:val="left" w:pos="2640"/>
                    </w:tabs>
                    <w:adjustRightInd w:val="0"/>
                    <w:snapToGrid w:val="0"/>
                    <w:jc w:val="center"/>
                    <w:rPr>
                      <w:rFonts w:hint="eastAsia" w:ascii="Times New Roman" w:hAnsi="Times New Roman" w:cs="Times New Roman"/>
                      <w:color w:val="FF0000"/>
                      <w:szCs w:val="21"/>
                    </w:rPr>
                  </w:pPr>
                  <w:r>
                    <w:rPr>
                      <w:rFonts w:hint="eastAsia" w:ascii="Times New Roman" w:hAnsi="Times New Roman" w:cs="Times New Roman"/>
                      <w:color w:val="FF0000"/>
                      <w:szCs w:val="21"/>
                    </w:rPr>
                    <w:t>生活垃圾</w:t>
                  </w:r>
                </w:p>
              </w:tc>
              <w:tc>
                <w:tcPr>
                  <w:tcW w:w="783" w:type="dxa"/>
                  <w:tcBorders>
                    <w:tl2br w:val="nil"/>
                    <w:tr2bl w:val="nil"/>
                  </w:tcBorders>
                  <w:vAlign w:val="center"/>
                </w:tcPr>
                <w:p>
                  <w:pPr>
                    <w:tabs>
                      <w:tab w:val="left" w:pos="2640"/>
                    </w:tabs>
                    <w:adjustRightInd w:val="0"/>
                    <w:snapToGrid w:val="0"/>
                    <w:jc w:val="center"/>
                    <w:rPr>
                      <w:rFonts w:hint="eastAsia" w:ascii="Times New Roman" w:hAnsi="Times New Roman" w:cs="Times New Roman"/>
                      <w:color w:val="FF0000"/>
                      <w:szCs w:val="21"/>
                    </w:rPr>
                  </w:pPr>
                  <w:r>
                    <w:rPr>
                      <w:rFonts w:hint="eastAsia" w:ascii="Times New Roman" w:hAnsi="Times New Roman" w:cs="Times New Roman"/>
                      <w:color w:val="FF0000"/>
                      <w:szCs w:val="21"/>
                      <w:lang w:val="en-US" w:eastAsia="zh-CN"/>
                    </w:rPr>
                    <w:t>2.45</w:t>
                  </w:r>
                  <w:r>
                    <w:rPr>
                      <w:rFonts w:hint="eastAsia" w:ascii="Times New Roman" w:hAnsi="Times New Roman" w:cs="Times New Roman"/>
                      <w:color w:val="FF0000"/>
                      <w:szCs w:val="21"/>
                    </w:rPr>
                    <w:t>t</w:t>
                  </w:r>
                </w:p>
              </w:tc>
              <w:tc>
                <w:tcPr>
                  <w:tcW w:w="1862" w:type="dxa"/>
                  <w:gridSpan w:val="3"/>
                  <w:tcBorders>
                    <w:tl2br w:val="nil"/>
                    <w:tr2bl w:val="nil"/>
                  </w:tcBorders>
                  <w:vAlign w:val="center"/>
                </w:tcPr>
                <w:p>
                  <w:pPr>
                    <w:tabs>
                      <w:tab w:val="left" w:pos="2640"/>
                    </w:tabs>
                    <w:adjustRightInd w:val="0"/>
                    <w:snapToGrid w:val="0"/>
                    <w:jc w:val="center"/>
                    <w:rPr>
                      <w:rFonts w:hint="eastAsia" w:ascii="Times New Roman" w:hAnsi="Times New Roman" w:cs="Times New Roman"/>
                      <w:color w:val="FF0000"/>
                      <w:szCs w:val="21"/>
                    </w:rPr>
                  </w:pPr>
                  <w:r>
                    <w:rPr>
                      <w:rFonts w:hint="eastAsia" w:ascii="Times New Roman" w:hAnsi="Times New Roman" w:cs="Times New Roman"/>
                      <w:color w:val="FF0000"/>
                      <w:szCs w:val="21"/>
                      <w:lang w:val="en-US" w:eastAsia="zh-CN"/>
                    </w:rPr>
                    <w:t>2.45</w:t>
                  </w:r>
                  <w:r>
                    <w:rPr>
                      <w:rFonts w:hint="eastAsia" w:ascii="Times New Roman" w:hAnsi="Times New Roman" w:cs="Times New Roman"/>
                      <w:color w:val="FF0000"/>
                      <w:szCs w:val="21"/>
                    </w:rPr>
                    <w:t>t</w:t>
                  </w:r>
                </w:p>
              </w:tc>
              <w:tc>
                <w:tcPr>
                  <w:tcW w:w="1806" w:type="dxa"/>
                  <w:gridSpan w:val="4"/>
                  <w:tcBorders>
                    <w:tl2br w:val="nil"/>
                    <w:tr2bl w:val="nil"/>
                  </w:tcBorders>
                  <w:vAlign w:val="center"/>
                </w:tcPr>
                <w:p>
                  <w:pPr>
                    <w:tabs>
                      <w:tab w:val="left" w:pos="2640"/>
                    </w:tabs>
                    <w:adjustRightInd w:val="0"/>
                    <w:snapToGrid w:val="0"/>
                    <w:jc w:val="center"/>
                    <w:rPr>
                      <w:rFonts w:hint="eastAsia"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w:t>
                  </w:r>
                </w:p>
              </w:tc>
              <w:tc>
                <w:tcPr>
                  <w:tcW w:w="975" w:type="dxa"/>
                  <w:tcBorders>
                    <w:tl2br w:val="nil"/>
                    <w:tr2bl w:val="nil"/>
                  </w:tcBorders>
                  <w:vAlign w:val="center"/>
                </w:tcPr>
                <w:p>
                  <w:pPr>
                    <w:tabs>
                      <w:tab w:val="left" w:pos="2640"/>
                    </w:tabs>
                    <w:adjustRightInd w:val="0"/>
                    <w:snapToGrid w:val="0"/>
                    <w:jc w:val="center"/>
                    <w:rPr>
                      <w:rFonts w:hint="eastAsia" w:ascii="Times New Roman" w:hAnsi="Times New Roman" w:cs="Times New Roman"/>
                      <w:color w:val="FF0000"/>
                      <w:szCs w:val="21"/>
                    </w:rPr>
                  </w:pPr>
                  <w:r>
                    <w:rPr>
                      <w:rFonts w:hint="eastAsia" w:ascii="Times New Roman" w:hAnsi="Times New Roman" w:cs="Times New Roman"/>
                      <w:color w:val="FF0000"/>
                      <w:szCs w:val="21"/>
                    </w:rPr>
                    <w:t>环卫部门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73"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973"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1392" w:type="dxa"/>
                  <w:tcBorders>
                    <w:tl2br w:val="nil"/>
                    <w:tr2bl w:val="nil"/>
                  </w:tcBorders>
                  <w:vAlign w:val="center"/>
                </w:tcPr>
                <w:p>
                  <w:pPr>
                    <w:tabs>
                      <w:tab w:val="left" w:pos="2640"/>
                    </w:tabs>
                    <w:adjustRightInd w:val="0"/>
                    <w:snapToGrid w:val="0"/>
                    <w:jc w:val="center"/>
                    <w:rPr>
                      <w:rFonts w:hint="eastAsia" w:ascii="Times New Roman" w:hAnsi="Times New Roman" w:cs="Times New Roman"/>
                      <w:color w:val="FF0000"/>
                      <w:szCs w:val="21"/>
                    </w:rPr>
                  </w:pPr>
                  <w:r>
                    <w:rPr>
                      <w:rFonts w:hint="eastAsia" w:ascii="Times New Roman" w:hAnsi="Times New Roman" w:cs="Times New Roman"/>
                      <w:color w:val="FF0000"/>
                      <w:szCs w:val="21"/>
                    </w:rPr>
                    <w:t>淤泥</w:t>
                  </w:r>
                </w:p>
              </w:tc>
              <w:tc>
                <w:tcPr>
                  <w:tcW w:w="783" w:type="dxa"/>
                  <w:tcBorders>
                    <w:tl2br w:val="nil"/>
                    <w:tr2bl w:val="nil"/>
                  </w:tcBorders>
                  <w:vAlign w:val="center"/>
                </w:tcPr>
                <w:p>
                  <w:pPr>
                    <w:tabs>
                      <w:tab w:val="left" w:pos="2640"/>
                    </w:tabs>
                    <w:adjustRightInd w:val="0"/>
                    <w:snapToGrid w:val="0"/>
                    <w:jc w:val="center"/>
                    <w:rPr>
                      <w:rFonts w:hint="eastAsia" w:ascii="Times New Roman" w:hAnsi="Times New Roman" w:cs="Times New Roman"/>
                      <w:color w:val="FF0000"/>
                      <w:szCs w:val="21"/>
                    </w:rPr>
                  </w:pPr>
                  <w:r>
                    <w:rPr>
                      <w:rFonts w:hint="eastAsia" w:ascii="Times New Roman" w:hAnsi="Times New Roman" w:cs="Times New Roman"/>
                      <w:color w:val="FF0000"/>
                      <w:szCs w:val="21"/>
                      <w:lang w:val="en-US" w:eastAsia="zh-CN"/>
                    </w:rPr>
                    <w:t>1.58</w:t>
                  </w:r>
                  <w:r>
                    <w:rPr>
                      <w:rFonts w:hint="eastAsia" w:ascii="Times New Roman" w:hAnsi="Times New Roman" w:cs="Times New Roman"/>
                      <w:color w:val="FF0000"/>
                      <w:szCs w:val="21"/>
                    </w:rPr>
                    <w:t>万m</w:t>
                  </w:r>
                  <w:r>
                    <w:rPr>
                      <w:rFonts w:hint="eastAsia" w:ascii="Times New Roman" w:hAnsi="Times New Roman" w:cs="Times New Roman"/>
                      <w:color w:val="FF0000"/>
                      <w:szCs w:val="21"/>
                      <w:vertAlign w:val="superscript"/>
                    </w:rPr>
                    <w:t>3</w:t>
                  </w:r>
                </w:p>
              </w:tc>
              <w:tc>
                <w:tcPr>
                  <w:tcW w:w="1862" w:type="dxa"/>
                  <w:gridSpan w:val="3"/>
                  <w:tcBorders>
                    <w:tl2br w:val="nil"/>
                    <w:tr2bl w:val="nil"/>
                  </w:tcBorders>
                  <w:vAlign w:val="center"/>
                </w:tcPr>
                <w:p>
                  <w:pPr>
                    <w:tabs>
                      <w:tab w:val="left" w:pos="2640"/>
                    </w:tabs>
                    <w:adjustRightInd w:val="0"/>
                    <w:snapToGrid w:val="0"/>
                    <w:jc w:val="center"/>
                    <w:rPr>
                      <w:rFonts w:hint="eastAsia" w:ascii="Times New Roman" w:hAnsi="Times New Roman" w:cs="Times New Roman"/>
                      <w:color w:val="FF0000"/>
                      <w:szCs w:val="21"/>
                    </w:rPr>
                  </w:pPr>
                  <w:r>
                    <w:rPr>
                      <w:rFonts w:hint="eastAsia" w:ascii="Times New Roman" w:hAnsi="Times New Roman" w:cs="Times New Roman"/>
                      <w:color w:val="FF0000"/>
                      <w:szCs w:val="21"/>
                      <w:lang w:val="en-US" w:eastAsia="zh-CN"/>
                    </w:rPr>
                    <w:t>1.58</w:t>
                  </w:r>
                  <w:r>
                    <w:rPr>
                      <w:rFonts w:hint="eastAsia" w:ascii="Times New Roman" w:hAnsi="Times New Roman" w:cs="Times New Roman"/>
                      <w:color w:val="FF0000"/>
                      <w:szCs w:val="21"/>
                    </w:rPr>
                    <w:t>万m</w:t>
                  </w:r>
                  <w:r>
                    <w:rPr>
                      <w:rFonts w:hint="eastAsia" w:ascii="Times New Roman" w:hAnsi="Times New Roman" w:cs="Times New Roman"/>
                      <w:color w:val="FF0000"/>
                      <w:szCs w:val="21"/>
                      <w:vertAlign w:val="superscript"/>
                    </w:rPr>
                    <w:t>3</w:t>
                  </w:r>
                </w:p>
              </w:tc>
              <w:tc>
                <w:tcPr>
                  <w:tcW w:w="1806" w:type="dxa"/>
                  <w:gridSpan w:val="4"/>
                  <w:tcBorders>
                    <w:tl2br w:val="nil"/>
                    <w:tr2bl w:val="nil"/>
                  </w:tcBorders>
                  <w:vAlign w:val="center"/>
                </w:tcPr>
                <w:p>
                  <w:pPr>
                    <w:tabs>
                      <w:tab w:val="left" w:pos="2640"/>
                    </w:tabs>
                    <w:adjustRightInd w:val="0"/>
                    <w:snapToGrid w:val="0"/>
                    <w:jc w:val="center"/>
                    <w:rPr>
                      <w:rFonts w:hint="eastAsia"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w:t>
                  </w:r>
                </w:p>
              </w:tc>
              <w:tc>
                <w:tcPr>
                  <w:tcW w:w="975" w:type="dxa"/>
                  <w:tcBorders>
                    <w:tl2br w:val="nil"/>
                    <w:tr2bl w:val="nil"/>
                  </w:tcBorders>
                  <w:vAlign w:val="center"/>
                </w:tcPr>
                <w:p>
                  <w:pPr>
                    <w:tabs>
                      <w:tab w:val="left" w:pos="2640"/>
                    </w:tabs>
                    <w:adjustRightInd w:val="0"/>
                    <w:snapToGrid w:val="0"/>
                    <w:jc w:val="center"/>
                    <w:rPr>
                      <w:rFonts w:hint="eastAsia" w:ascii="Times New Roman" w:hAnsi="Times New Roman" w:cs="Times New Roman"/>
                      <w:color w:val="FF0000"/>
                      <w:szCs w:val="21"/>
                    </w:rPr>
                  </w:pPr>
                  <w:r>
                    <w:rPr>
                      <w:rFonts w:hint="eastAsia" w:ascii="Times New Roman" w:hAnsi="Times New Roman" w:cs="Times New Roman"/>
                      <w:color w:val="FF0000"/>
                      <w:szCs w:val="21"/>
                    </w:rPr>
                    <w:t>回填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73" w:type="dxa"/>
                  <w:vMerge w:val="restart"/>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噪声</w:t>
                  </w:r>
                </w:p>
              </w:tc>
              <w:tc>
                <w:tcPr>
                  <w:tcW w:w="973" w:type="dxa"/>
                  <w:tcBorders>
                    <w:tl2br w:val="nil"/>
                    <w:tr2bl w:val="nil"/>
                  </w:tcBorders>
                  <w:vAlign w:val="center"/>
                </w:tcPr>
                <w:p>
                  <w:pPr>
                    <w:tabs>
                      <w:tab w:val="left" w:pos="2640"/>
                    </w:tabs>
                    <w:adjustRightInd w:val="0"/>
                    <w:snapToGrid w:val="0"/>
                    <w:jc w:val="center"/>
                    <w:rPr>
                      <w:rFonts w:ascii="Times New Roman" w:hAnsi="Times New Roman" w:cs="Times New Roman"/>
                      <w:b/>
                      <w:bCs/>
                      <w:color w:val="FF0000"/>
                      <w:szCs w:val="21"/>
                    </w:rPr>
                  </w:pPr>
                  <w:r>
                    <w:rPr>
                      <w:rFonts w:hint="eastAsia" w:ascii="Times New Roman" w:hAnsi="Times New Roman" w:cs="Times New Roman"/>
                      <w:b/>
                      <w:bCs/>
                      <w:color w:val="FF0000"/>
                      <w:szCs w:val="21"/>
                    </w:rPr>
                    <w:t>序号</w:t>
                  </w:r>
                </w:p>
              </w:tc>
              <w:tc>
                <w:tcPr>
                  <w:tcW w:w="1392" w:type="dxa"/>
                  <w:tcBorders>
                    <w:tl2br w:val="nil"/>
                    <w:tr2bl w:val="nil"/>
                  </w:tcBorders>
                  <w:vAlign w:val="center"/>
                </w:tcPr>
                <w:p>
                  <w:pPr>
                    <w:tabs>
                      <w:tab w:val="left" w:pos="2640"/>
                    </w:tabs>
                    <w:adjustRightInd w:val="0"/>
                    <w:snapToGrid w:val="0"/>
                    <w:jc w:val="center"/>
                    <w:rPr>
                      <w:rFonts w:ascii="Times New Roman" w:hAnsi="Times New Roman" w:cs="Times New Roman"/>
                      <w:b/>
                      <w:bCs/>
                      <w:color w:val="FF0000"/>
                      <w:szCs w:val="21"/>
                    </w:rPr>
                  </w:pPr>
                  <w:r>
                    <w:rPr>
                      <w:rFonts w:hint="eastAsia" w:ascii="Times New Roman" w:hAnsi="Times New Roman" w:cs="Times New Roman"/>
                      <w:b/>
                      <w:bCs/>
                      <w:color w:val="FF0000"/>
                      <w:szCs w:val="21"/>
                    </w:rPr>
                    <w:t>噪声源</w:t>
                  </w:r>
                </w:p>
              </w:tc>
              <w:tc>
                <w:tcPr>
                  <w:tcW w:w="783" w:type="dxa"/>
                  <w:tcBorders>
                    <w:tl2br w:val="nil"/>
                    <w:tr2bl w:val="nil"/>
                  </w:tcBorders>
                  <w:vAlign w:val="center"/>
                </w:tcPr>
                <w:p>
                  <w:pPr>
                    <w:tabs>
                      <w:tab w:val="left" w:pos="2640"/>
                    </w:tabs>
                    <w:adjustRightInd w:val="0"/>
                    <w:snapToGrid w:val="0"/>
                    <w:jc w:val="center"/>
                    <w:rPr>
                      <w:rFonts w:ascii="Times New Roman" w:hAnsi="Times New Roman" w:cs="Times New Roman"/>
                      <w:b/>
                      <w:bCs/>
                      <w:color w:val="FF0000"/>
                      <w:szCs w:val="21"/>
                    </w:rPr>
                  </w:pPr>
                  <w:r>
                    <w:rPr>
                      <w:rFonts w:hint="eastAsia" w:ascii="Times New Roman" w:hAnsi="Times New Roman" w:cs="Times New Roman"/>
                      <w:b/>
                      <w:bCs/>
                      <w:color w:val="FF0000"/>
                      <w:szCs w:val="21"/>
                    </w:rPr>
                    <w:t>噪声值dB（A）</w:t>
                  </w:r>
                </w:p>
              </w:tc>
              <w:tc>
                <w:tcPr>
                  <w:tcW w:w="1862" w:type="dxa"/>
                  <w:gridSpan w:val="3"/>
                  <w:tcBorders>
                    <w:tl2br w:val="nil"/>
                    <w:tr2bl w:val="nil"/>
                  </w:tcBorders>
                  <w:vAlign w:val="center"/>
                </w:tcPr>
                <w:p>
                  <w:pPr>
                    <w:tabs>
                      <w:tab w:val="left" w:pos="2640"/>
                    </w:tabs>
                    <w:adjustRightInd w:val="0"/>
                    <w:snapToGrid w:val="0"/>
                    <w:jc w:val="center"/>
                    <w:rPr>
                      <w:rFonts w:ascii="Times New Roman" w:hAnsi="Times New Roman" w:cs="Times New Roman"/>
                      <w:b/>
                      <w:bCs/>
                      <w:color w:val="FF0000"/>
                      <w:szCs w:val="21"/>
                    </w:rPr>
                  </w:pPr>
                  <w:r>
                    <w:rPr>
                      <w:rFonts w:hint="eastAsia" w:ascii="Times New Roman" w:hAnsi="Times New Roman" w:cs="Times New Roman"/>
                      <w:b/>
                      <w:bCs/>
                      <w:color w:val="FF0000"/>
                      <w:szCs w:val="21"/>
                    </w:rPr>
                    <w:t>排放方式</w:t>
                  </w:r>
                </w:p>
              </w:tc>
              <w:tc>
                <w:tcPr>
                  <w:tcW w:w="1806" w:type="dxa"/>
                  <w:gridSpan w:val="4"/>
                  <w:tcBorders>
                    <w:tl2br w:val="nil"/>
                    <w:tr2bl w:val="nil"/>
                  </w:tcBorders>
                  <w:vAlign w:val="center"/>
                </w:tcPr>
                <w:p>
                  <w:pPr>
                    <w:tabs>
                      <w:tab w:val="left" w:pos="2640"/>
                    </w:tabs>
                    <w:adjustRightInd w:val="0"/>
                    <w:snapToGrid w:val="0"/>
                    <w:jc w:val="center"/>
                    <w:rPr>
                      <w:rFonts w:ascii="Times New Roman" w:hAnsi="Times New Roman" w:cs="Times New Roman"/>
                      <w:b/>
                      <w:bCs/>
                      <w:color w:val="FF0000"/>
                      <w:szCs w:val="21"/>
                    </w:rPr>
                  </w:pPr>
                  <w:r>
                    <w:rPr>
                      <w:rFonts w:hint="eastAsia" w:ascii="Times New Roman" w:hAnsi="Times New Roman" w:cs="Times New Roman"/>
                      <w:b/>
                      <w:bCs/>
                      <w:color w:val="FF0000"/>
                      <w:szCs w:val="21"/>
                    </w:rPr>
                    <w:t>数量</w:t>
                  </w:r>
                </w:p>
              </w:tc>
              <w:tc>
                <w:tcPr>
                  <w:tcW w:w="975" w:type="dxa"/>
                  <w:tcBorders>
                    <w:tl2br w:val="nil"/>
                    <w:tr2bl w:val="nil"/>
                  </w:tcBorders>
                  <w:vAlign w:val="center"/>
                </w:tcPr>
                <w:p>
                  <w:pPr>
                    <w:tabs>
                      <w:tab w:val="left" w:pos="2640"/>
                    </w:tabs>
                    <w:adjustRightInd w:val="0"/>
                    <w:snapToGrid w:val="0"/>
                    <w:jc w:val="center"/>
                    <w:rPr>
                      <w:rFonts w:ascii="Times New Roman" w:hAnsi="Times New Roman" w:cs="Times New Roman"/>
                      <w:b/>
                      <w:bCs/>
                      <w:color w:val="FF0000"/>
                      <w:szCs w:val="21"/>
                    </w:rPr>
                  </w:pPr>
                  <w:r>
                    <w:rPr>
                      <w:rFonts w:hint="eastAsia" w:ascii="Times New Roman" w:hAnsi="Times New Roman" w:cs="Times New Roman"/>
                      <w:b/>
                      <w:bCs/>
                      <w:color w:val="FF0000"/>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73" w:type="dxa"/>
                  <w:vMerge w:val="continue"/>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p>
              </w:tc>
              <w:tc>
                <w:tcPr>
                  <w:tcW w:w="7791" w:type="dxa"/>
                  <w:gridSpan w:val="11"/>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lang w:eastAsia="zh-CN"/>
                    </w:rPr>
                    <w:t>项目一、二期</w:t>
                  </w:r>
                  <w:r>
                    <w:rPr>
                      <w:rFonts w:hint="eastAsia" w:ascii="Times New Roman" w:hAnsi="Times New Roman" w:cs="Times New Roman"/>
                      <w:color w:val="FF0000"/>
                      <w:szCs w:val="21"/>
                    </w:rPr>
                    <w:t>施工期施工设备</w:t>
                  </w:r>
                  <w:r>
                    <w:rPr>
                      <w:rFonts w:hint="eastAsia" w:ascii="Times New Roman" w:hAnsi="Times New Roman" w:cs="Times New Roman"/>
                      <w:color w:val="FF0000"/>
                      <w:szCs w:val="21"/>
                      <w:lang w:eastAsia="zh-CN"/>
                    </w:rPr>
                    <w:t>主要有挖泥船、起重机、泥水泵等，</w:t>
                  </w:r>
                  <w:r>
                    <w:rPr>
                      <w:rFonts w:hint="eastAsia" w:ascii="Times New Roman" w:hAnsi="Times New Roman" w:cs="Times New Roman"/>
                      <w:color w:val="FF0000"/>
                      <w:szCs w:val="21"/>
                    </w:rPr>
                    <w:t>产生的噪声值约为8</w:t>
                  </w:r>
                  <w:r>
                    <w:rPr>
                      <w:rFonts w:hint="eastAsia" w:ascii="Times New Roman" w:hAnsi="Times New Roman" w:cs="Times New Roman"/>
                      <w:color w:val="FF0000"/>
                      <w:szCs w:val="21"/>
                      <w:lang w:val="en-US" w:eastAsia="zh-CN"/>
                    </w:rPr>
                    <w:t>2</w:t>
                  </w:r>
                  <w:r>
                    <w:rPr>
                      <w:rFonts w:hint="eastAsia" w:ascii="Times New Roman" w:hAnsi="Times New Roman" w:cs="Times New Roman"/>
                      <w:color w:val="FF0000"/>
                      <w:szCs w:val="21"/>
                    </w:rPr>
                    <w:t>dB（A）~90dB（A）。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73" w:type="dxa"/>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其他</w:t>
                  </w:r>
                </w:p>
              </w:tc>
              <w:tc>
                <w:tcPr>
                  <w:tcW w:w="7791" w:type="dxa"/>
                  <w:gridSpan w:val="11"/>
                  <w:tcBorders>
                    <w:tl2br w:val="nil"/>
                    <w:tr2bl w:val="nil"/>
                  </w:tcBorders>
                  <w:vAlign w:val="center"/>
                </w:tcPr>
                <w:p>
                  <w:pPr>
                    <w:tabs>
                      <w:tab w:val="left" w:pos="2640"/>
                    </w:tabs>
                    <w:adjustRightInd w:val="0"/>
                    <w:snapToGrid w:val="0"/>
                    <w:jc w:val="center"/>
                    <w:rPr>
                      <w:rFonts w:ascii="Times New Roman" w:hAnsi="Times New Roman" w:cs="Times New Roman"/>
                      <w:color w:val="FF0000"/>
                      <w:szCs w:val="21"/>
                    </w:rPr>
                  </w:pPr>
                  <w:r>
                    <w:rPr>
                      <w:rFonts w:hint="eastAsia" w:ascii="Times New Roman" w:hAnsi="Times New Roman" w:cs="Times New Roman"/>
                      <w:color w:val="FF0000"/>
                      <w:szCs w:val="21"/>
                    </w:rPr>
                    <w:t>本项目在营运过程中应加强管理，注意环境卫生。</w:t>
                  </w:r>
                </w:p>
              </w:tc>
            </w:tr>
          </w:tbl>
          <w:p>
            <w:pPr>
              <w:tabs>
                <w:tab w:val="left" w:pos="2640"/>
              </w:tabs>
              <w:adjustRightInd w:val="0"/>
              <w:snapToGrid w:val="0"/>
              <w:spacing w:line="360" w:lineRule="auto"/>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主要生态影响（不够时可附另页）</w:t>
            </w:r>
          </w:p>
          <w:p>
            <w:pPr>
              <w:tabs>
                <w:tab w:val="left" w:pos="2640"/>
              </w:tabs>
              <w:adjustRightInd w:val="0"/>
              <w:snapToGrid w:val="0"/>
              <w:spacing w:line="360" w:lineRule="auto"/>
              <w:ind w:firstLine="482" w:firstLineChars="200"/>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1.施工期生态影响分析</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施工期间由于工程建设的需要，会破坏现有的一些水生植被及底栖生物，但施工后由于生态环境的改善，这些水生植被和底栖生物容易得到恢复。施工中，工程附近的水流形态会在小范围内发生变化，这可能会对鱼类等水生生物造成影响，但由于施工活动引起的水流形态改变是暂时的，因此水生生物受此影响不大。</w:t>
            </w:r>
          </w:p>
          <w:p>
            <w:pPr>
              <w:tabs>
                <w:tab w:val="left" w:pos="2640"/>
              </w:tabs>
              <w:adjustRightInd w:val="0"/>
              <w:snapToGrid w:val="0"/>
              <w:spacing w:line="360" w:lineRule="auto"/>
              <w:ind w:firstLine="482" w:firstLineChars="200"/>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2.施工完成投入使用后生态影响分析</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施工完成后，充分发挥了湖滨带的强净化能力，有效削减入湖污染负荷，降低湖水的富营养化，提高了地区的防洪除涝能力和湖道水环境容量，有效缓解湖道的防洪压力，同时随着湖滨带生态系统的修复，增加了生物多样性，改善了湖滨区生态景观。从根本上保护水源、重建生态、恢复生态系统。富裕促进区域建设，改善区域水环境将产生重要意义。</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综上分析，本项目在施工期间对生态环境影响较小，而且通过采取相应的生态保护和恢复措施，尤其是通过施工管理和强化施工期的保护和恢复，则本项目建设对生态环境影响是可接受的，并且营运期对生态环境具有积极的影响。</w:t>
            </w:r>
          </w:p>
        </w:tc>
      </w:tr>
    </w:tbl>
    <w:p>
      <w:pPr>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0"/>
        <w:adjustRightInd w:val="0"/>
        <w:snapToGrid w:val="0"/>
        <w:rPr>
          <w:color w:val="auto"/>
        </w:rPr>
      </w:pPr>
      <w:r>
        <w:rPr>
          <w:rFonts w:hint="eastAsia"/>
          <w:color w:val="auto"/>
        </w:rPr>
        <w:t>七、</w:t>
      </w:r>
      <w:r>
        <w:rPr>
          <w:color w:val="auto"/>
        </w:rPr>
        <w:t>环境影响分析</w:t>
      </w:r>
    </w:p>
    <w:tbl>
      <w:tblPr>
        <w:tblStyle w:val="16"/>
        <w:tblW w:w="8980" w:type="dxa"/>
        <w:jc w:val="center"/>
        <w:tblInd w:w="-825"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98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8980" w:type="dxa"/>
            <w:tcBorders>
              <w:top w:val="single" w:color="auto" w:sz="4" w:space="0"/>
              <w:bottom w:val="single" w:color="auto" w:sz="4" w:space="0"/>
            </w:tcBorders>
          </w:tcPr>
          <w:p>
            <w:pPr>
              <w:tabs>
                <w:tab w:val="left" w:pos="2640"/>
              </w:tabs>
              <w:adjustRightInd w:val="0"/>
              <w:snapToGrid w:val="0"/>
              <w:spacing w:line="36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施工期环境影响分析：</w:t>
            </w:r>
          </w:p>
          <w:p>
            <w:pPr>
              <w:tabs>
                <w:tab w:val="left" w:pos="2640"/>
              </w:tabs>
              <w:adjustRightInd w:val="0"/>
              <w:snapToGrid w:val="0"/>
              <w:spacing w:line="360" w:lineRule="auto"/>
              <w:rPr>
                <w:rFonts w:hint="eastAsia" w:ascii="Times New Roman" w:hAnsi="Times New Roman" w:cs="Times New Roman" w:eastAsiaTheme="minorEastAsia"/>
                <w:b/>
                <w:bCs/>
                <w:color w:val="auto"/>
                <w:sz w:val="24"/>
                <w:szCs w:val="24"/>
                <w:lang w:eastAsia="zh-CN"/>
              </w:rPr>
            </w:pPr>
            <w:r>
              <w:rPr>
                <w:rFonts w:hint="eastAsia" w:ascii="Times New Roman" w:hAnsi="Times New Roman" w:cs="Times New Roman"/>
                <w:b/>
                <w:bCs/>
                <w:color w:val="auto"/>
                <w:sz w:val="24"/>
                <w:szCs w:val="24"/>
                <w:lang w:eastAsia="zh-CN"/>
              </w:rPr>
              <w:t>本项目一、二期工程建设内容一致，具体施工期环境影响分析如下：</w:t>
            </w:r>
          </w:p>
          <w:p>
            <w:pPr>
              <w:tabs>
                <w:tab w:val="left" w:pos="2640"/>
              </w:tabs>
              <w:adjustRightInd w:val="0"/>
              <w:snapToGrid w:val="0"/>
              <w:spacing w:line="360" w:lineRule="auto"/>
              <w:ind w:firstLine="482" w:firstLineChars="200"/>
              <w:rPr>
                <w:rFonts w:ascii="Times New Roman" w:hAnsi="Times New Roman" w:cs="Times New Roman"/>
                <w:b/>
                <w:bCs/>
                <w:color w:val="auto"/>
                <w:sz w:val="24"/>
                <w:szCs w:val="24"/>
              </w:rPr>
            </w:pPr>
            <w:r>
              <w:rPr>
                <w:rFonts w:ascii="Times New Roman" w:hAnsi="Times New Roman" w:cs="Times New Roman"/>
                <w:b/>
                <w:bCs/>
                <w:color w:val="auto"/>
                <w:sz w:val="24"/>
                <w:szCs w:val="24"/>
              </w:rPr>
              <w:t>1、大气环境影响分析</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（1）恶臭</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在清淤过程中，河道底部含有有机物腐殖的污染底泥，在受到扰动和堆放过程中，会有少量的恶臭气体产生，主要成分是（主要为氨、硫化氢等）将呈无组织状态释放。根据湖泊疏浚工程实例的类比分析来看，底泥在疏挖过程中在岸边及湖边将会有较明显的臭味，30m之外有轻微臭味，50m之外基本无气味。本项目最近的敏感点为西侧的太湖渎（约480m），本项目不设置排泥场，淤泥全部回填用于基地修复工程。因此本项目清淤过程中产生的恶臭对周围环境影响较小。</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（2）施工扬尘</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施工区遇天气干燥季节易产生扬尘，据类比分析，在此条件下，扬尘产生处下风向60m</w:t>
            </w:r>
            <w:r>
              <w:rPr>
                <w:rFonts w:ascii="Times New Roman" w:hAnsi="Times New Roman" w:eastAsia="宋体" w:cs="Times New Roman"/>
                <w:color w:val="auto"/>
                <w:sz w:val="24"/>
                <w:szCs w:val="24"/>
              </w:rPr>
              <w:t>范围内TSP超标，据施工点下风向150m以内的空气环境均受到一定的影响，但施工扬尘对环境的影响具有短期性、间歇性和可逆性。由于施工场地较窄，施工范围有限，施工机械同时施工的几率不大，所以废气污染是小范围的、短暂的。根据同类型工程经验，施工废气的影响范围一般在场地周围50m范围内，项目周边敏感点较少，但工程施工过程中仍应十分重视污染，采取</w:t>
            </w:r>
            <w:r>
              <w:rPr>
                <w:rFonts w:hint="eastAsia" w:ascii="Times New Roman" w:hAnsi="Times New Roman" w:eastAsia="宋体" w:cs="Times New Roman"/>
                <w:color w:val="auto"/>
                <w:sz w:val="24"/>
                <w:szCs w:val="24"/>
                <w:lang w:eastAsia="zh-CN"/>
              </w:rPr>
              <w:t>设置围挡等</w:t>
            </w:r>
            <w:r>
              <w:rPr>
                <w:rFonts w:ascii="Times New Roman" w:hAnsi="Times New Roman" w:eastAsia="宋体" w:cs="Times New Roman"/>
                <w:color w:val="auto"/>
                <w:sz w:val="24"/>
                <w:szCs w:val="24"/>
              </w:rPr>
              <w:t>相应可靠的环保措施以降低污染。</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eastAsia="宋体" w:cs="Times New Roman"/>
                <w:color w:val="auto"/>
                <w:sz w:val="24"/>
                <w:szCs w:val="24"/>
              </w:rPr>
              <w:t>总之，只要加强管理、切实落实好防尘措施，施工场地扬尘对环境的影响将会大大降低，同时其对环境的影响也将随施工的结束而消失。</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eastAsia="宋体" w:cs="Times New Roman"/>
                <w:color w:val="auto"/>
                <w:sz w:val="24"/>
                <w:szCs w:val="24"/>
              </w:rPr>
              <w:t>（3）运输车辆及作业机械尾气</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eastAsia="宋体" w:cs="Times New Roman"/>
                <w:color w:val="auto"/>
                <w:sz w:val="24"/>
                <w:szCs w:val="24"/>
              </w:rPr>
              <w:t>施工机械和运输车辆的尾气中含有一氧化碳（CO）、氮氧化物和非甲烷总烃等有毒有害物质，但本项目施工作业量和物料运输量不大，而且施工沿线地形较为空旷，有利于污染物的扩散，因此施工机械和运输车辆的尾气对沿线空气质量的影响较小。</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eastAsia="宋体" w:cs="Times New Roman"/>
                <w:color w:val="auto"/>
                <w:sz w:val="24"/>
                <w:szCs w:val="24"/>
              </w:rPr>
              <w:t>废气污染防治措施：</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eastAsia="宋体" w:cs="Times New Roman"/>
                <w:color w:val="auto"/>
                <w:sz w:val="24"/>
                <w:szCs w:val="24"/>
              </w:rPr>
              <w:t>①合理安排施工现场和施工时间，加强工区的规划管理，当出现风速过大或不利天气状况时应停止施工作业，并对堆放的建筑材料进行遮盖。</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eastAsia="宋体" w:cs="Times New Roman"/>
                <w:color w:val="auto"/>
                <w:sz w:val="24"/>
                <w:szCs w:val="24"/>
              </w:rPr>
              <w:t>②尽量减少搬运环节，搬运时要作到轻举轻放；清除的淤泥及时利用，以防因长期堆放表面干燥而起尘。</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eastAsia="宋体" w:cs="Times New Roman"/>
                <w:color w:val="auto"/>
                <w:sz w:val="24"/>
                <w:szCs w:val="24"/>
              </w:rPr>
              <w:t>③加强对施工机械，运输车辆的维修保养。禁止不符合国家废气排放标准的机械和车辆进入工区，禁止以柴油为燃料的施工机械超负荷工作，减少烟尘和颗粒物排放。</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eastAsia="宋体" w:cs="Times New Roman"/>
                <w:color w:val="auto"/>
                <w:sz w:val="24"/>
                <w:szCs w:val="24"/>
              </w:rPr>
              <w:t>④配合有关部门搞好施工期间周围道路及本项目道路的交通组织，减少车辆滞留时间，避免因施工而造成交通堵塞，减少因此而产生的怠速废气排放。本项目在建设过程中除采取以上措施外，还得严格执行江苏省人民政府第91号令《江苏省大气颗粒物污染防治管理办法》中第十三条及第十七条相关规定：</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eastAsia="宋体" w:cs="Times New Roman"/>
                <w:color w:val="auto"/>
                <w:sz w:val="24"/>
                <w:szCs w:val="24"/>
              </w:rPr>
              <w:t>第十三条：建设工地、物料堆放场所出口应当硬化地面并设置车辆清洗设施，运输车辆冲洗干净后方可驶出作业场所。施工单位和物料堆放场所经营管理者应当及时清扫和冲洗出口处道路，路面不得有明显可见泥土印迹，鼓励出入口实行机械化清扫（冲洗）保洁。</w:t>
            </w:r>
          </w:p>
          <w:p>
            <w:pPr>
              <w:tabs>
                <w:tab w:val="left" w:pos="2640"/>
              </w:tabs>
              <w:adjustRightInd w:val="0"/>
              <w:snapToGrid w:val="0"/>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第十七条：工程建设施工单位应当遵守建设施工现场环境保护的规定，建立相应的责任管理制度，制定扬尘污染防治方案并按照方案施工，有效控制扬尘污染。工程建设施工单位不得将建筑渣土交给个人或者未经核准从事建筑渣土运输的单位运输。运输过程中因抛洒滴漏或者故意倾倒造成路面污染的，由运输单位或者个人负责及时清理。</w:t>
            </w:r>
          </w:p>
          <w:p>
            <w:pPr>
              <w:tabs>
                <w:tab w:val="left" w:pos="2640"/>
              </w:tabs>
              <w:adjustRightInd w:val="0"/>
              <w:snapToGrid w:val="0"/>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施工机械及运输车辆必须严格执行江苏省人民政府第91号令《江苏省大气颗粒物污染防治管理办法》中相关规定：使用低硫燃料油，对施工机械设备及运输车辆加强检测及维修，降低车用燃油燃烧的颗粒物排放强度，减少对周围大气环境的影响。</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eastAsia="宋体" w:cs="Times New Roman"/>
                <w:color w:val="auto"/>
                <w:sz w:val="24"/>
                <w:szCs w:val="24"/>
              </w:rPr>
              <w:t>经采取以上防治措施及执行《江苏省大气颗粒物污染防治管理办法》中相关规定后，项目施工过程中产生的扬尘及运输车辆和作业机械尾气对周围环境的影响在可承受范围之内。</w:t>
            </w:r>
          </w:p>
          <w:p>
            <w:pPr>
              <w:tabs>
                <w:tab w:val="left" w:pos="2640"/>
              </w:tabs>
              <w:adjustRightInd w:val="0"/>
              <w:snapToGrid w:val="0"/>
              <w:spacing w:line="360" w:lineRule="auto"/>
              <w:ind w:firstLine="482" w:firstLineChars="200"/>
              <w:rPr>
                <w:rFonts w:ascii="Times New Roman" w:hAnsi="Times New Roman" w:cs="Times New Roman"/>
                <w:b/>
                <w:bCs/>
                <w:color w:val="auto"/>
                <w:sz w:val="24"/>
                <w:szCs w:val="24"/>
              </w:rPr>
            </w:pPr>
            <w:r>
              <w:rPr>
                <w:rFonts w:ascii="Times New Roman" w:hAnsi="Times New Roman" w:cs="Times New Roman"/>
                <w:b/>
                <w:bCs/>
                <w:color w:val="auto"/>
                <w:sz w:val="24"/>
                <w:szCs w:val="24"/>
              </w:rPr>
              <w:t>2、水环境影响分析</w:t>
            </w:r>
          </w:p>
          <w:p>
            <w:pPr>
              <w:tabs>
                <w:tab w:val="left" w:pos="2640"/>
              </w:tabs>
              <w:adjustRightInd w:val="0"/>
              <w:snapToGrid w:val="0"/>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对于施工期的工程施工尾水和生活污水不随意排放，生活污水就近</w:t>
            </w:r>
            <w:r>
              <w:rPr>
                <w:rFonts w:hint="eastAsia" w:ascii="Times New Roman" w:hAnsi="Times New Roman" w:eastAsia="宋体" w:cs="Times New Roman"/>
                <w:color w:val="auto"/>
                <w:sz w:val="24"/>
                <w:szCs w:val="24"/>
              </w:rPr>
              <w:t>卫生设施</w:t>
            </w:r>
            <w:r>
              <w:rPr>
                <w:rFonts w:ascii="Times New Roman" w:hAnsi="Times New Roman" w:eastAsia="宋体" w:cs="Times New Roman"/>
                <w:color w:val="auto"/>
                <w:sz w:val="24"/>
                <w:szCs w:val="24"/>
              </w:rPr>
              <w:t>，接入污水管网由污水处理厂统一处理。弃土都堆到指定排放地点，施工尾水排放达到《疏浚工程施工技术规范》（SL17-90）标准，工地设现场督查员进行监督检查。</w:t>
            </w:r>
          </w:p>
          <w:p>
            <w:pPr>
              <w:tabs>
                <w:tab w:val="left" w:pos="2640"/>
              </w:tabs>
              <w:adjustRightInd w:val="0"/>
              <w:snapToGrid w:val="0"/>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防治措施：</w:t>
            </w:r>
          </w:p>
          <w:p>
            <w:pPr>
              <w:tabs>
                <w:tab w:val="left" w:pos="2640"/>
              </w:tabs>
              <w:adjustRightInd w:val="0"/>
              <w:snapToGrid w:val="0"/>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本项目施工期产生的生活污水，水质简单，施工人员利用就近的原有卫生设施，产生的生活污水经污水管网收集排入宜兴市华骐污水处理厂集中处理后达标排入蠡河，能得到有效治理，不会对宜兴市华骐污水处理厂的处理工艺造成冲击；建设项目排放的生活污水经宜兴市华骐污水处理厂排入蠡河，对周围水环境影响较小。</w:t>
            </w:r>
          </w:p>
          <w:p>
            <w:pPr>
              <w:tabs>
                <w:tab w:val="left" w:pos="2640"/>
              </w:tabs>
              <w:adjustRightInd w:val="0"/>
              <w:snapToGrid w:val="0"/>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为减少施工生产废水对地表水的污染影响，凡在施工场地运输车清洗处设置沉淀池。排放的废水排入沉淀池内，经沉淀处理后方可排入区域污水截流系统或进行回收利用、用于洒水降尘。未经处理的泥浆水，严禁直接排入城市排水设施和河流。严禁油料泄漏或倾倒废油料，严禁施工船舶向水域排放未经过处理的机舱水。施工船舶机舱水由船舶自带油水分离器处理达到《船舶污染物排放标准》后拖运至宜兴市华骐污水处理有限公司处理。</w:t>
            </w:r>
          </w:p>
          <w:p>
            <w:pPr>
              <w:tabs>
                <w:tab w:val="left" w:pos="2640"/>
              </w:tabs>
              <w:adjustRightInd w:val="0"/>
              <w:snapToGrid w:val="0"/>
              <w:spacing w:line="360" w:lineRule="auto"/>
              <w:ind w:firstLine="482" w:firstLineChars="200"/>
              <w:rPr>
                <w:rFonts w:ascii="Times New Roman" w:hAnsi="Times New Roman" w:cs="Times New Roman"/>
                <w:b/>
                <w:bCs/>
                <w:color w:val="auto"/>
                <w:sz w:val="24"/>
                <w:szCs w:val="24"/>
              </w:rPr>
            </w:pPr>
            <w:r>
              <w:rPr>
                <w:rFonts w:ascii="Times New Roman" w:hAnsi="Times New Roman" w:cs="Times New Roman"/>
                <w:b/>
                <w:bCs/>
                <w:color w:val="auto"/>
                <w:sz w:val="24"/>
                <w:szCs w:val="24"/>
              </w:rPr>
              <w:t>3、固体废物影响分析</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eastAsia="宋体" w:cs="Times New Roman"/>
                <w:color w:val="auto"/>
                <w:sz w:val="24"/>
                <w:szCs w:val="24"/>
              </w:rPr>
              <w:t>施工期固体废物主要是清淤污泥以及施工人员产生的生活垃圾。项目施工人员的生活垃圾经收集后交附近环卫处统一处理，对环境影响不大。本工程产生的淤泥经收集后回填用于基底修复工程，不排放。因此，施工固废对周边环境影响较小。</w:t>
            </w:r>
          </w:p>
          <w:p>
            <w:pPr>
              <w:tabs>
                <w:tab w:val="left" w:pos="2640"/>
              </w:tabs>
              <w:adjustRightInd w:val="0"/>
              <w:snapToGrid w:val="0"/>
              <w:spacing w:line="360" w:lineRule="auto"/>
              <w:ind w:firstLine="482" w:firstLineChars="200"/>
              <w:rPr>
                <w:rFonts w:ascii="Times New Roman" w:hAnsi="Times New Roman" w:cs="Times New Roman"/>
                <w:b/>
                <w:bCs/>
                <w:color w:val="auto"/>
                <w:sz w:val="24"/>
                <w:szCs w:val="24"/>
              </w:rPr>
            </w:pPr>
            <w:r>
              <w:rPr>
                <w:rFonts w:ascii="Times New Roman" w:hAnsi="Times New Roman" w:cs="Times New Roman"/>
                <w:b/>
                <w:bCs/>
                <w:color w:val="auto"/>
                <w:sz w:val="24"/>
                <w:szCs w:val="24"/>
              </w:rPr>
              <w:t>4、声环境影响分析</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eastAsia="宋体" w:cs="Times New Roman"/>
                <w:color w:val="auto"/>
                <w:sz w:val="24"/>
                <w:szCs w:val="24"/>
              </w:rPr>
              <w:t>在施工过程中，会有来自施工机械（推土机、挖掘机、水泵等）和车辆等产生的噪声污染，该工程施工作业的机械设备为露天作业，无隔声消减措施，噪声传播较远，项目产生的施工噪声对周围居民将产生一定的影响。</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eastAsia="宋体" w:cs="Times New Roman"/>
                <w:color w:val="auto"/>
                <w:sz w:val="24"/>
                <w:szCs w:val="24"/>
              </w:rPr>
              <w:t>噪声污染防治措施：</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eastAsia="宋体" w:cs="Times New Roman"/>
                <w:color w:val="auto"/>
                <w:sz w:val="24"/>
                <w:szCs w:val="24"/>
              </w:rPr>
              <w:t>河道整治施工噪声是社会发展过程中的短期污染行为，一般的居民均能理解。但是作为建设施工单位为保护沿线居民的正常生活和休息，应采取必要的噪声控制措施，因此，在建筑施工期间向周围排放噪声必须按照《中华人民共和国环境噪声污染防治法》规定，严格按《建筑施工场界环境噪声排放标准》（GB12523-2011）进行控制，降低施工噪声对环境的影响。主要措施如下：</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eastAsia="宋体" w:cs="Times New Roman"/>
                <w:color w:val="auto"/>
                <w:sz w:val="24"/>
                <w:szCs w:val="24"/>
              </w:rPr>
              <w:t>（1）加强施工管理，合理安排施工作业时间，严格遵照地方环境噪声管理条例的有关规定，避免夜间进行高噪声施工作业；为防止施工噪声扰民，应杜绝深夜施工；对因需保障白天交通通畅和其它特殊需要，确需在夜间进行超过噪声标准施工的，建设单位须在施工前向有关部门申请，经批准后方可进行夜间施工。</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eastAsia="宋体" w:cs="Times New Roman"/>
                <w:color w:val="auto"/>
                <w:sz w:val="24"/>
                <w:szCs w:val="24"/>
              </w:rPr>
              <w:t>（2）尽可能采用低噪声的施工机械，并且注意经常维护和保养，使得施工机械设备保持运转正常，同时要定期检验设备的噪声声级，以便有效地缩小施工期的噪声影响范围。</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eastAsia="宋体" w:cs="Times New Roman"/>
                <w:color w:val="auto"/>
                <w:sz w:val="24"/>
                <w:szCs w:val="24"/>
              </w:rPr>
              <w:t>（3）合理布局施工设备，对固定的高噪声设备进行噪声屏蔽处理，在高噪声设备周围设置掩蔽物，施工现场设置彩钢板围挡，以增加噪声的衰减量，减少对周边环境的影响。</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eastAsia="宋体" w:cs="Times New Roman"/>
                <w:color w:val="auto"/>
                <w:sz w:val="24"/>
                <w:szCs w:val="24"/>
              </w:rPr>
              <w:t>（4）施工场地应保持通道和道路畅通，控制运输车辆的车速，限制车辆鸣笛，减少交通噪声对周边环境的影响。</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eastAsia="宋体" w:cs="Times New Roman"/>
                <w:color w:val="auto"/>
                <w:sz w:val="24"/>
                <w:szCs w:val="24"/>
              </w:rPr>
              <w:t>（5）做好施工人员的噪声防护。</w:t>
            </w:r>
          </w:p>
          <w:p>
            <w:pPr>
              <w:tabs>
                <w:tab w:val="left" w:pos="2640"/>
              </w:tabs>
              <w:adjustRightInd w:val="0"/>
              <w:snapToGrid w:val="0"/>
              <w:spacing w:line="360" w:lineRule="auto"/>
              <w:ind w:firstLine="482" w:firstLineChars="200"/>
              <w:rPr>
                <w:rFonts w:ascii="Times New Roman" w:hAnsi="Times New Roman" w:cs="Times New Roman"/>
                <w:b/>
                <w:bCs/>
                <w:color w:val="auto"/>
                <w:sz w:val="24"/>
                <w:szCs w:val="24"/>
              </w:rPr>
            </w:pPr>
            <w:r>
              <w:rPr>
                <w:rFonts w:ascii="Times New Roman" w:hAnsi="Times New Roman" w:cs="Times New Roman"/>
                <w:b/>
                <w:bCs/>
                <w:color w:val="auto"/>
                <w:sz w:val="24"/>
                <w:szCs w:val="24"/>
              </w:rPr>
              <w:t>5、生态环境影响分析</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eastAsia="宋体" w:cs="Times New Roman"/>
                <w:color w:val="auto"/>
                <w:sz w:val="24"/>
                <w:szCs w:val="24"/>
              </w:rPr>
              <w:t>本项目施工中，工程附近的水流形态不可避免会在小范围内发生变化，这可能会对鱼类等水生生物造成影响，由于工程建设的需要，会破坏现有的一些水生植被及底栖生物，此外，本项目河流的施工时间是短暂的，施工活动引起的水流形态改变也是暂时的，水生生物受此影响不大污染较小，对水体功能影响也相对较小。而且施工后由于生态环境的改善，这些水生植被和底栖生物容易得到恢复，水环境质量可以得到较大改善。</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eastAsia="宋体" w:cs="Times New Roman"/>
                <w:color w:val="auto"/>
                <w:sz w:val="24"/>
                <w:szCs w:val="24"/>
              </w:rPr>
              <w:t>生态防治措施：</w:t>
            </w:r>
          </w:p>
          <w:p>
            <w:pPr>
              <w:tabs>
                <w:tab w:val="left" w:pos="2640"/>
              </w:tabs>
              <w:adjustRightInd w:val="0"/>
              <w:snapToGrid w:val="0"/>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①合理安排施工期，优化施工方案，加强科学管理，在保证施工质量的前提下尽可能缩短工程施工时间，降低工程对生态环境的影响。</w:t>
            </w:r>
          </w:p>
          <w:p>
            <w:pPr>
              <w:tabs>
                <w:tab w:val="left" w:pos="2640"/>
              </w:tabs>
              <w:adjustRightInd w:val="0"/>
              <w:snapToGrid w:val="0"/>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②</w:t>
            </w:r>
            <w:r>
              <w:rPr>
                <w:rFonts w:ascii="Times New Roman" w:hAnsi="Times New Roman" w:eastAsia="宋体" w:cs="Times New Roman"/>
                <w:color w:val="auto"/>
                <w:sz w:val="24"/>
              </w:rPr>
              <w:t>在工程施工阶段开展必要的调查和监测试验，加强对水质、生态和底泥的监测，同时应强化对环境保护的监理，以确保工程实施阶段污染控制，以切实达到保护水质和水生生态环境的目的。</w:t>
            </w:r>
          </w:p>
          <w:p>
            <w:pPr>
              <w:tabs>
                <w:tab w:val="left" w:pos="2640"/>
              </w:tabs>
              <w:adjustRightInd w:val="0"/>
              <w:snapToGrid w:val="0"/>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szCs w:val="24"/>
              </w:rPr>
              <w:t>③</w:t>
            </w:r>
            <w:r>
              <w:rPr>
                <w:rFonts w:ascii="Times New Roman" w:hAnsi="Times New Roman" w:eastAsia="宋体" w:cs="Times New Roman"/>
                <w:color w:val="auto"/>
                <w:sz w:val="24"/>
              </w:rPr>
              <w:t>为有效减少疏浚施工对底栖动物生态环境的影响，工程施工后应进行底栖动物的人工辅助恢复工作。</w:t>
            </w:r>
          </w:p>
          <w:p>
            <w:pPr>
              <w:tabs>
                <w:tab w:val="left" w:pos="2640"/>
              </w:tabs>
              <w:adjustRightInd w:val="0"/>
              <w:snapToGrid w:val="0"/>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④</w:t>
            </w:r>
            <w:r>
              <w:rPr>
                <w:rFonts w:ascii="Times New Roman" w:hAnsi="Times New Roman" w:eastAsia="宋体" w:cs="Times New Roman"/>
                <w:color w:val="auto"/>
                <w:sz w:val="24"/>
              </w:rPr>
              <w:t>规范施工活动，施工活动应尽量控制在工程占地范围内，并注意保护占地边线以外的农田和植被，防止人为对工程范围外土壤、植被的破坏。</w:t>
            </w:r>
          </w:p>
          <w:p>
            <w:pPr>
              <w:tabs>
                <w:tab w:val="left" w:pos="2640"/>
              </w:tabs>
              <w:adjustRightInd w:val="0"/>
              <w:snapToGrid w:val="0"/>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szCs w:val="24"/>
              </w:rPr>
              <w:t>⑤</w:t>
            </w:r>
            <w:r>
              <w:rPr>
                <w:rFonts w:ascii="Times New Roman" w:hAnsi="Times New Roman" w:eastAsia="宋体" w:cs="Times New Roman"/>
                <w:color w:val="auto"/>
                <w:sz w:val="24"/>
              </w:rPr>
              <w:t>工程结束后，应在农业部门的指导下对排泥场及沉淀池等陆上临时占地进行土地复耕复植。临时占地和临时便道等破坏区，施工结束后及时进行土地复垦和恢复植被。</w:t>
            </w:r>
          </w:p>
          <w:p>
            <w:pPr>
              <w:tabs>
                <w:tab w:val="left" w:pos="2640"/>
              </w:tabs>
              <w:adjustRightInd w:val="0"/>
              <w:snapToGrid w:val="0"/>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⑥施工中应加强监管，禁止捕捞当地鱼类及螺蛳等水生生物。在那些水生植被及底栖生物系统因工程施工而受到破坏的地区，通过生态石笼植草、土著底栖动物放养等生态修复技术，恢复当地的水生植被和底栖生物系统，同时为了增加生物多样性，对那些原本没有发现水生生物的区域应尽可能进行生态修复。</w:t>
            </w:r>
          </w:p>
          <w:p>
            <w:pPr>
              <w:tabs>
                <w:tab w:val="left" w:pos="2640"/>
              </w:tabs>
              <w:adjustRightInd w:val="0"/>
              <w:snapToGrid w:val="0"/>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通过这些措施的施行，可基本消除因本工程对水生态环境造成的影响。</w:t>
            </w:r>
          </w:p>
          <w:p>
            <w:pPr>
              <w:tabs>
                <w:tab w:val="left" w:pos="2640"/>
              </w:tabs>
              <w:adjustRightInd w:val="0"/>
              <w:snapToGrid w:val="0"/>
              <w:spacing w:line="360" w:lineRule="auto"/>
              <w:ind w:firstLine="482" w:firstLineChars="200"/>
              <w:rPr>
                <w:rFonts w:ascii="Times New Roman" w:hAnsi="Times New Roman" w:cs="Times New Roman"/>
                <w:b/>
                <w:bCs/>
                <w:color w:val="auto"/>
                <w:sz w:val="24"/>
                <w:szCs w:val="24"/>
              </w:rPr>
            </w:pPr>
            <w:r>
              <w:rPr>
                <w:rFonts w:ascii="Times New Roman" w:hAnsi="Times New Roman" w:cs="Times New Roman"/>
                <w:b/>
                <w:bCs/>
                <w:color w:val="auto"/>
                <w:sz w:val="24"/>
                <w:szCs w:val="24"/>
              </w:rPr>
              <w:t>6、对社会环境的影响</w:t>
            </w:r>
          </w:p>
          <w:p>
            <w:pPr>
              <w:tabs>
                <w:tab w:val="left" w:pos="2640"/>
              </w:tabs>
              <w:adjustRightInd w:val="0"/>
              <w:snapToGrid w:val="0"/>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施工人员大量进入工区，人口密度上升，给各种传染性疾病提供了传播途径，工区是潜在的疾病流行、暴发场地，工区周边居民及施工人员可能受到影响。本工程施工期间，施工材料由公路运输供给，将增加区域公路交通压力。施工人员大量进入工区，人口密度上升，给各种传染性疾病提供了传播途径，可能会对工区周边沿线居民造成一定影响。同时，车辆运输材料时，如果防护措施不当，会产生大量扬尘，从而对所经过街道路的路面、周边居民产生粉尘影响，亦给城市卫生环境带来一定影响。</w:t>
            </w:r>
          </w:p>
          <w:p>
            <w:pPr>
              <w:tabs>
                <w:tab w:val="left" w:pos="2640"/>
              </w:tabs>
              <w:adjustRightInd w:val="0"/>
              <w:snapToGrid w:val="0"/>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保护措施：</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eastAsia="宋体" w:cs="Times New Roman"/>
                <w:color w:val="auto"/>
                <w:sz w:val="24"/>
                <w:szCs w:val="24"/>
              </w:rPr>
              <w:t>建设单位在施工期，应加强交通管理和组织，设置必要的警告、安全措施，减少交通堵塞和交通安全事故的发生；施工期应尽量不破坏现有的排、灌渠道和现有道路，路线布设方案以及设置的构造物应满足水利设施泄洪需求，同时，与沿线村委会和有关部门密切配合，做好水系和路网的重新规划和调整。</w:t>
            </w:r>
          </w:p>
          <w:p>
            <w:pPr>
              <w:tabs>
                <w:tab w:val="left" w:pos="2640"/>
              </w:tabs>
              <w:adjustRightInd w:val="0"/>
              <w:snapToGrid w:val="0"/>
              <w:spacing w:line="36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营运期环境影响分析：</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eastAsia="宋体" w:cs="Times New Roman"/>
                <w:color w:val="auto"/>
                <w:sz w:val="24"/>
                <w:szCs w:val="24"/>
              </w:rPr>
              <w:t>本项目为无污染生态型环境工程，运营期中无“三废”排放。项目建成后对环境的影响主要体现在有利的一面。</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eastAsia="宋体" w:cs="Times New Roman"/>
                <w:color w:val="auto"/>
                <w:sz w:val="24"/>
                <w:szCs w:val="24"/>
              </w:rPr>
              <w:t>（1）对水环境的改善作用</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eastAsia="宋体" w:cs="Times New Roman"/>
                <w:color w:val="auto"/>
                <w:sz w:val="24"/>
                <w:szCs w:val="24"/>
              </w:rPr>
              <w:t>本工程实施后，通过涧底清淤，可降低底泥对上浮水的污染物释放强度。因此通过整治，可有效提高水质，也可有效提高河道水体的水环境容量；同时加强了水体之间的沟通，增强了水体的流动性，从而强化河流水体富氧自净能力，进一步增加环境容量；随着生态清淤和生态修复的实施，河道水环境好转，生态环境也将进一步改善，从而有利于维持河道生态系统的平衡和生物多样性，促进区域生态系统的良性循环。</w:t>
            </w:r>
          </w:p>
          <w:p>
            <w:pPr>
              <w:tabs>
                <w:tab w:val="left" w:pos="2640"/>
              </w:tabs>
              <w:adjustRightInd w:val="0"/>
              <w:snapToGrid w:val="0"/>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（2）对水文情势的改善</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eastAsia="宋体" w:cs="Times New Roman"/>
                <w:color w:val="auto"/>
                <w:sz w:val="24"/>
                <w:szCs w:val="24"/>
              </w:rPr>
              <w:t>本项目经过涧底清淤后，流速增加行洪能力明显加大，提高了河流的抗洪排涝能力。因此本工程对水文情势的影响是正面的。</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eastAsia="宋体" w:cs="Times New Roman"/>
                <w:color w:val="auto"/>
                <w:sz w:val="24"/>
                <w:szCs w:val="24"/>
              </w:rPr>
              <w:t>（3）有利于增强生态环境可持续发展</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eastAsia="宋体" w:cs="Times New Roman"/>
                <w:color w:val="auto"/>
                <w:sz w:val="24"/>
                <w:szCs w:val="24"/>
              </w:rPr>
              <w:t>本项目建设的生态驳岸除具有护提、防止水土流失的基本功能外，还具有滨水景观、恢复生态平衡等作用，有效增强了区内生态环境的可持续性。具体表现如下：1、促进河岸生态系统恢复，形成美丽自然的景观。2、调节水源。3、增强水体自净作用。</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eastAsia="宋体" w:cs="Times New Roman"/>
                <w:color w:val="auto"/>
                <w:sz w:val="24"/>
                <w:szCs w:val="24"/>
              </w:rPr>
              <w:t>（4）有利于促进乡村建设</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eastAsia="宋体" w:cs="Times New Roman"/>
                <w:color w:val="auto"/>
                <w:sz w:val="24"/>
                <w:szCs w:val="24"/>
              </w:rPr>
              <w:t>项目整治好，有利于促进乡村建设，有利于改善乡村环境。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2847" w:hRule="atLeast"/>
          <w:jc w:val="center"/>
        </w:trPr>
        <w:tc>
          <w:tcPr>
            <w:tcW w:w="8980" w:type="dxa"/>
            <w:tcBorders>
              <w:top w:val="single" w:color="auto" w:sz="4" w:space="0"/>
              <w:bottom w:val="single" w:color="auto" w:sz="4" w:space="0"/>
            </w:tcBorders>
          </w:tcPr>
          <w:p>
            <w:pPr>
              <w:tabs>
                <w:tab w:val="left" w:pos="2640"/>
              </w:tabs>
              <w:adjustRightInd w:val="0"/>
              <w:snapToGrid w:val="0"/>
              <w:spacing w:line="360" w:lineRule="auto"/>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污染防治措施汇总：</w:t>
            </w:r>
          </w:p>
          <w:p>
            <w:pPr>
              <w:tabs>
                <w:tab w:val="left" w:pos="2640"/>
              </w:tabs>
              <w:adjustRightInd w:val="0"/>
              <w:snapToGrid w:val="0"/>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本项目预防或者减轻不良环境影响的对策和措施见下表。</w:t>
            </w:r>
          </w:p>
          <w:p>
            <w:pPr>
              <w:tabs>
                <w:tab w:val="left" w:pos="2640"/>
              </w:tabs>
              <w:adjustRightInd w:val="0"/>
              <w:snapToGrid w:val="0"/>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表7-1  预防或减轻不良环境影响的对策和措施</w:t>
            </w:r>
          </w:p>
          <w:tbl>
            <w:tblPr>
              <w:tblStyle w:val="17"/>
              <w:tblW w:w="876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389"/>
              <w:gridCol w:w="2315"/>
              <w:gridCol w:w="2736"/>
              <w:gridCol w:w="13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1" w:type="dxa"/>
                  <w:tcBorders>
                    <w:tl2br w:val="nil"/>
                    <w:tr2bl w:val="nil"/>
                  </w:tcBorders>
                  <w:vAlign w:val="center"/>
                </w:tcPr>
                <w:p>
                  <w:pPr>
                    <w:tabs>
                      <w:tab w:val="left" w:pos="2640"/>
                    </w:tabs>
                    <w:adjustRightInd w:val="0"/>
                    <w:snapToGrid w:val="0"/>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类别</w:t>
                  </w:r>
                </w:p>
              </w:tc>
              <w:tc>
                <w:tcPr>
                  <w:tcW w:w="1389" w:type="dxa"/>
                  <w:tcBorders>
                    <w:tl2br w:val="nil"/>
                    <w:tr2bl w:val="nil"/>
                  </w:tcBorders>
                  <w:vAlign w:val="center"/>
                </w:tcPr>
                <w:p>
                  <w:pPr>
                    <w:tabs>
                      <w:tab w:val="left" w:pos="2640"/>
                    </w:tabs>
                    <w:adjustRightInd w:val="0"/>
                    <w:snapToGrid w:val="0"/>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污染源</w:t>
                  </w:r>
                </w:p>
              </w:tc>
              <w:tc>
                <w:tcPr>
                  <w:tcW w:w="2315" w:type="dxa"/>
                  <w:tcBorders>
                    <w:tl2br w:val="nil"/>
                    <w:tr2bl w:val="nil"/>
                  </w:tcBorders>
                  <w:vAlign w:val="center"/>
                </w:tcPr>
                <w:p>
                  <w:pPr>
                    <w:tabs>
                      <w:tab w:val="left" w:pos="2640"/>
                    </w:tabs>
                    <w:adjustRightInd w:val="0"/>
                    <w:snapToGrid w:val="0"/>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污染物</w:t>
                  </w:r>
                </w:p>
              </w:tc>
              <w:tc>
                <w:tcPr>
                  <w:tcW w:w="2736" w:type="dxa"/>
                  <w:tcBorders>
                    <w:tl2br w:val="nil"/>
                    <w:tr2bl w:val="nil"/>
                  </w:tcBorders>
                  <w:vAlign w:val="center"/>
                </w:tcPr>
                <w:p>
                  <w:pPr>
                    <w:tabs>
                      <w:tab w:val="left" w:pos="2640"/>
                    </w:tabs>
                    <w:adjustRightInd w:val="0"/>
                    <w:snapToGrid w:val="0"/>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治理措施</w:t>
                  </w:r>
                </w:p>
              </w:tc>
              <w:tc>
                <w:tcPr>
                  <w:tcW w:w="1393" w:type="dxa"/>
                  <w:tcBorders>
                    <w:tl2br w:val="nil"/>
                    <w:tr2bl w:val="nil"/>
                  </w:tcBorders>
                  <w:vAlign w:val="center"/>
                </w:tcPr>
                <w:p>
                  <w:pPr>
                    <w:tabs>
                      <w:tab w:val="left" w:pos="2640"/>
                    </w:tabs>
                    <w:adjustRightInd w:val="0"/>
                    <w:snapToGrid w:val="0"/>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处理效果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31" w:type="dxa"/>
                  <w:vMerge w:val="restart"/>
                  <w:tcBorders>
                    <w:tl2br w:val="nil"/>
                    <w:tr2bl w:val="nil"/>
                  </w:tcBorders>
                  <w:vAlign w:val="center"/>
                </w:tcPr>
                <w:p>
                  <w:pPr>
                    <w:tabs>
                      <w:tab w:val="left" w:pos="2640"/>
                    </w:tabs>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废水</w:t>
                  </w:r>
                </w:p>
              </w:tc>
              <w:tc>
                <w:tcPr>
                  <w:tcW w:w="1389" w:type="dxa"/>
                  <w:tcBorders>
                    <w:tl2br w:val="nil"/>
                    <w:tr2bl w:val="nil"/>
                  </w:tcBorders>
                  <w:vAlign w:val="center"/>
                </w:tcPr>
                <w:p>
                  <w:pPr>
                    <w:tabs>
                      <w:tab w:val="left" w:pos="2640"/>
                    </w:tabs>
                    <w:adjustRightInd w:val="0"/>
                    <w:snapToGri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lang w:eastAsia="zh-CN"/>
                    </w:rPr>
                    <w:t>一、二期</w:t>
                  </w:r>
                  <w:r>
                    <w:rPr>
                      <w:rFonts w:ascii="Times New Roman" w:hAnsi="Times New Roman" w:eastAsia="宋体" w:cs="Times New Roman"/>
                      <w:color w:val="auto"/>
                      <w:szCs w:val="21"/>
                    </w:rPr>
                    <w:t>施工生活污水</w:t>
                  </w:r>
                </w:p>
              </w:tc>
              <w:tc>
                <w:tcPr>
                  <w:tcW w:w="2315" w:type="dxa"/>
                  <w:tcBorders>
                    <w:tl2br w:val="nil"/>
                    <w:tr2bl w:val="nil"/>
                  </w:tcBorders>
                  <w:vAlign w:val="center"/>
                </w:tcPr>
                <w:p>
                  <w:pPr>
                    <w:tabs>
                      <w:tab w:val="left" w:pos="2640"/>
                    </w:tabs>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COD、SS、NH</w:t>
                  </w:r>
                  <w:r>
                    <w:rPr>
                      <w:rFonts w:ascii="Times New Roman" w:hAnsi="Times New Roman" w:eastAsia="宋体" w:cs="Times New Roman"/>
                      <w:color w:val="auto"/>
                      <w:szCs w:val="21"/>
                      <w:vertAlign w:val="subscript"/>
                    </w:rPr>
                    <w:t>3</w:t>
                  </w:r>
                  <w:r>
                    <w:rPr>
                      <w:rFonts w:ascii="Times New Roman" w:hAnsi="Times New Roman" w:eastAsia="宋体" w:cs="Times New Roman"/>
                      <w:color w:val="auto"/>
                      <w:szCs w:val="21"/>
                    </w:rPr>
                    <w:t>-N、TP</w:t>
                  </w:r>
                </w:p>
              </w:tc>
              <w:tc>
                <w:tcPr>
                  <w:tcW w:w="2736" w:type="dxa"/>
                  <w:tcBorders>
                    <w:tl2br w:val="nil"/>
                    <w:tr2bl w:val="nil"/>
                  </w:tcBorders>
                  <w:vAlign w:val="center"/>
                </w:tcPr>
                <w:p>
                  <w:pPr>
                    <w:tabs>
                      <w:tab w:val="left" w:pos="2640"/>
                    </w:tabs>
                    <w:adjustRightInd w:val="0"/>
                    <w:snapToGri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就近原有卫生设施达标接管</w:t>
                  </w:r>
                </w:p>
              </w:tc>
              <w:tc>
                <w:tcPr>
                  <w:tcW w:w="1393" w:type="dxa"/>
                  <w:tcBorders>
                    <w:tl2br w:val="nil"/>
                    <w:tr2bl w:val="nil"/>
                  </w:tcBorders>
                  <w:vAlign w:val="center"/>
                </w:tcPr>
                <w:p>
                  <w:pPr>
                    <w:tabs>
                      <w:tab w:val="left" w:pos="2640"/>
                    </w:tabs>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达到接管标准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1" w:type="dxa"/>
                  <w:vMerge w:val="continue"/>
                  <w:tcBorders>
                    <w:tl2br w:val="nil"/>
                    <w:tr2bl w:val="nil"/>
                  </w:tcBorders>
                  <w:vAlign w:val="center"/>
                </w:tcPr>
                <w:p>
                  <w:pPr>
                    <w:tabs>
                      <w:tab w:val="left" w:pos="2640"/>
                    </w:tabs>
                    <w:adjustRightInd w:val="0"/>
                    <w:snapToGrid w:val="0"/>
                    <w:jc w:val="center"/>
                    <w:rPr>
                      <w:rFonts w:ascii="Times New Roman" w:hAnsi="Times New Roman" w:eastAsia="宋体" w:cs="Times New Roman"/>
                      <w:color w:val="auto"/>
                      <w:szCs w:val="21"/>
                    </w:rPr>
                  </w:pPr>
                </w:p>
              </w:tc>
              <w:tc>
                <w:tcPr>
                  <w:tcW w:w="1389" w:type="dxa"/>
                  <w:tcBorders>
                    <w:tl2br w:val="nil"/>
                    <w:tr2bl w:val="nil"/>
                  </w:tcBorders>
                  <w:vAlign w:val="center"/>
                </w:tcPr>
                <w:p>
                  <w:pPr>
                    <w:tabs>
                      <w:tab w:val="left" w:pos="2640"/>
                    </w:tabs>
                    <w:adjustRightInd w:val="0"/>
                    <w:snapToGri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lang w:eastAsia="zh-CN"/>
                    </w:rPr>
                    <w:t>一、二期</w:t>
                  </w:r>
                  <w:r>
                    <w:rPr>
                      <w:rFonts w:ascii="Times New Roman" w:hAnsi="Times New Roman" w:eastAsia="宋体" w:cs="Times New Roman"/>
                      <w:color w:val="auto"/>
                      <w:szCs w:val="21"/>
                    </w:rPr>
                    <w:t>施工</w:t>
                  </w:r>
                  <w:r>
                    <w:rPr>
                      <w:rFonts w:hint="eastAsia" w:ascii="Times New Roman" w:hAnsi="Times New Roman" w:eastAsia="宋体" w:cs="Times New Roman"/>
                      <w:color w:val="auto"/>
                      <w:szCs w:val="21"/>
                    </w:rPr>
                    <w:t>废</w:t>
                  </w:r>
                  <w:r>
                    <w:rPr>
                      <w:rFonts w:ascii="Times New Roman" w:hAnsi="Times New Roman" w:eastAsia="宋体" w:cs="Times New Roman"/>
                      <w:color w:val="auto"/>
                      <w:szCs w:val="21"/>
                    </w:rPr>
                    <w:t>水</w:t>
                  </w:r>
                </w:p>
              </w:tc>
              <w:tc>
                <w:tcPr>
                  <w:tcW w:w="2315" w:type="dxa"/>
                  <w:tcBorders>
                    <w:tl2br w:val="nil"/>
                    <w:tr2bl w:val="nil"/>
                  </w:tcBorders>
                  <w:vAlign w:val="center"/>
                </w:tcPr>
                <w:p>
                  <w:pPr>
                    <w:tabs>
                      <w:tab w:val="left" w:pos="2640"/>
                    </w:tabs>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COD、SS、石油类</w:t>
                  </w:r>
                </w:p>
              </w:tc>
              <w:tc>
                <w:tcPr>
                  <w:tcW w:w="2736" w:type="dxa"/>
                  <w:tcBorders>
                    <w:tl2br w:val="nil"/>
                    <w:tr2bl w:val="nil"/>
                  </w:tcBorders>
                  <w:vAlign w:val="center"/>
                </w:tcPr>
                <w:p>
                  <w:pPr>
                    <w:tabs>
                      <w:tab w:val="left" w:pos="2640"/>
                    </w:tabs>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经沉淀处理后全部回用</w:t>
                  </w:r>
                </w:p>
              </w:tc>
              <w:tc>
                <w:tcPr>
                  <w:tcW w:w="1393" w:type="dxa"/>
                  <w:tcBorders>
                    <w:tl2br w:val="nil"/>
                    <w:tr2bl w:val="nil"/>
                  </w:tcBorders>
                  <w:vAlign w:val="center"/>
                </w:tcPr>
                <w:p>
                  <w:pPr>
                    <w:tabs>
                      <w:tab w:val="left" w:pos="2640"/>
                    </w:tabs>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全部回用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1" w:type="dxa"/>
                  <w:vMerge w:val="restart"/>
                  <w:tcBorders>
                    <w:tl2br w:val="nil"/>
                    <w:tr2bl w:val="nil"/>
                  </w:tcBorders>
                  <w:vAlign w:val="center"/>
                </w:tcPr>
                <w:p>
                  <w:pPr>
                    <w:tabs>
                      <w:tab w:val="left" w:pos="2640"/>
                    </w:tabs>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废气</w:t>
                  </w:r>
                </w:p>
              </w:tc>
              <w:tc>
                <w:tcPr>
                  <w:tcW w:w="1389" w:type="dxa"/>
                  <w:vMerge w:val="restart"/>
                  <w:tcBorders>
                    <w:tl2br w:val="nil"/>
                    <w:tr2bl w:val="nil"/>
                  </w:tcBorders>
                  <w:vAlign w:val="center"/>
                </w:tcPr>
                <w:p>
                  <w:pPr>
                    <w:tabs>
                      <w:tab w:val="left" w:pos="2640"/>
                    </w:tabs>
                    <w:adjustRightInd w:val="0"/>
                    <w:snapToGri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lang w:eastAsia="zh-CN"/>
                    </w:rPr>
                    <w:t>一、二期</w:t>
                  </w:r>
                  <w:r>
                    <w:rPr>
                      <w:rFonts w:ascii="Times New Roman" w:hAnsi="Times New Roman" w:eastAsia="宋体" w:cs="Times New Roman"/>
                      <w:color w:val="auto"/>
                      <w:szCs w:val="21"/>
                    </w:rPr>
                    <w:t>施工期</w:t>
                  </w:r>
                </w:p>
              </w:tc>
              <w:tc>
                <w:tcPr>
                  <w:tcW w:w="2315" w:type="dxa"/>
                  <w:tcBorders>
                    <w:tl2br w:val="nil"/>
                    <w:tr2bl w:val="nil"/>
                  </w:tcBorders>
                  <w:vAlign w:val="center"/>
                </w:tcPr>
                <w:p>
                  <w:pPr>
                    <w:tabs>
                      <w:tab w:val="left" w:pos="2640"/>
                    </w:tabs>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扬尘、</w:t>
                  </w:r>
                  <w:r>
                    <w:rPr>
                      <w:rFonts w:hint="eastAsia" w:ascii="Times New Roman" w:hAnsi="Times New Roman" w:eastAsia="宋体" w:cs="Times New Roman"/>
                      <w:color w:val="auto"/>
                      <w:szCs w:val="21"/>
                      <w:lang w:eastAsia="zh-CN"/>
                    </w:rPr>
                    <w:t>恶臭、</w:t>
                  </w:r>
                  <w:r>
                    <w:rPr>
                      <w:rFonts w:hint="eastAsia" w:ascii="Times New Roman" w:hAnsi="Times New Roman" w:cs="Times New Roman"/>
                      <w:color w:val="auto"/>
                      <w:szCs w:val="21"/>
                      <w:lang w:eastAsia="zh-CN"/>
                    </w:rPr>
                    <w:t>施工运输车辆</w:t>
                  </w:r>
                  <w:r>
                    <w:rPr>
                      <w:rFonts w:hint="default" w:ascii="Times New Roman" w:hAnsi="Times New Roman" w:cs="Times New Roman"/>
                      <w:color w:val="auto"/>
                      <w:szCs w:val="21"/>
                    </w:rPr>
                    <w:t>尾气</w:t>
                  </w:r>
                  <w:r>
                    <w:rPr>
                      <w:rFonts w:ascii="Times New Roman" w:hAnsi="Times New Roman" w:eastAsia="宋体" w:cs="Times New Roman"/>
                      <w:color w:val="auto"/>
                      <w:szCs w:val="21"/>
                    </w:rPr>
                    <w:t>等</w:t>
                  </w:r>
                </w:p>
              </w:tc>
              <w:tc>
                <w:tcPr>
                  <w:tcW w:w="2736" w:type="dxa"/>
                  <w:tcBorders>
                    <w:tl2br w:val="nil"/>
                    <w:tr2bl w:val="nil"/>
                  </w:tcBorders>
                  <w:vAlign w:val="center"/>
                </w:tcPr>
                <w:p>
                  <w:pPr>
                    <w:tabs>
                      <w:tab w:val="left" w:pos="2640"/>
                    </w:tabs>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加强管理、对场地及堆土及时洒水，设置临时围护，避免在大风天气下进行土石方施工，运输车辆要进行遮盖，减少车辆滞留时间等</w:t>
                  </w:r>
                </w:p>
              </w:tc>
              <w:tc>
                <w:tcPr>
                  <w:tcW w:w="1393" w:type="dxa"/>
                  <w:tcBorders>
                    <w:tl2br w:val="nil"/>
                    <w:tr2bl w:val="nil"/>
                  </w:tcBorders>
                  <w:vAlign w:val="center"/>
                </w:tcPr>
                <w:p>
                  <w:pPr>
                    <w:tabs>
                      <w:tab w:val="left" w:pos="2640"/>
                    </w:tabs>
                    <w:adjustRightInd w:val="0"/>
                    <w:snapToGri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达标排放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1" w:type="dxa"/>
                  <w:vMerge w:val="continue"/>
                  <w:tcBorders>
                    <w:tl2br w:val="nil"/>
                    <w:tr2bl w:val="nil"/>
                  </w:tcBorders>
                  <w:vAlign w:val="center"/>
                </w:tcPr>
                <w:p>
                  <w:pPr>
                    <w:tabs>
                      <w:tab w:val="left" w:pos="2640"/>
                    </w:tabs>
                    <w:adjustRightInd w:val="0"/>
                    <w:snapToGrid w:val="0"/>
                    <w:jc w:val="center"/>
                    <w:rPr>
                      <w:rFonts w:ascii="Times New Roman" w:hAnsi="Times New Roman" w:eastAsia="宋体" w:cs="Times New Roman"/>
                      <w:color w:val="auto"/>
                      <w:szCs w:val="21"/>
                    </w:rPr>
                  </w:pPr>
                </w:p>
              </w:tc>
              <w:tc>
                <w:tcPr>
                  <w:tcW w:w="1389" w:type="dxa"/>
                  <w:vMerge w:val="continue"/>
                  <w:tcBorders>
                    <w:tl2br w:val="nil"/>
                    <w:tr2bl w:val="nil"/>
                  </w:tcBorders>
                  <w:vAlign w:val="center"/>
                </w:tcPr>
                <w:p>
                  <w:pPr>
                    <w:tabs>
                      <w:tab w:val="left" w:pos="2640"/>
                    </w:tabs>
                    <w:adjustRightInd w:val="0"/>
                    <w:snapToGrid w:val="0"/>
                    <w:jc w:val="center"/>
                    <w:rPr>
                      <w:rFonts w:ascii="Times New Roman" w:hAnsi="Times New Roman" w:eastAsia="宋体" w:cs="Times New Roman"/>
                      <w:color w:val="auto"/>
                      <w:szCs w:val="21"/>
                    </w:rPr>
                  </w:pPr>
                </w:p>
              </w:tc>
              <w:tc>
                <w:tcPr>
                  <w:tcW w:w="2315" w:type="dxa"/>
                  <w:tcBorders>
                    <w:tl2br w:val="nil"/>
                    <w:tr2bl w:val="nil"/>
                  </w:tcBorders>
                  <w:vAlign w:val="center"/>
                </w:tcPr>
                <w:p>
                  <w:pPr>
                    <w:tabs>
                      <w:tab w:val="left" w:pos="2640"/>
                    </w:tabs>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恶臭</w:t>
                  </w:r>
                </w:p>
              </w:tc>
              <w:tc>
                <w:tcPr>
                  <w:tcW w:w="2736" w:type="dxa"/>
                  <w:tcBorders>
                    <w:tl2br w:val="nil"/>
                    <w:tr2bl w:val="nil"/>
                  </w:tcBorders>
                  <w:vAlign w:val="center"/>
                </w:tcPr>
                <w:p>
                  <w:pPr>
                    <w:tabs>
                      <w:tab w:val="left" w:pos="2640"/>
                    </w:tabs>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加强防护，严格管理，以尽量减少恶臭的影响、及时清运、合理堆放。</w:t>
                  </w:r>
                </w:p>
              </w:tc>
              <w:tc>
                <w:tcPr>
                  <w:tcW w:w="1393" w:type="dxa"/>
                  <w:tcBorders>
                    <w:tl2br w:val="nil"/>
                    <w:tr2bl w:val="nil"/>
                  </w:tcBorders>
                  <w:vAlign w:val="center"/>
                </w:tcPr>
                <w:p>
                  <w:pPr>
                    <w:tabs>
                      <w:tab w:val="left" w:pos="2640"/>
                    </w:tabs>
                    <w:adjustRightInd w:val="0"/>
                    <w:snapToGri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达标排放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1" w:type="dxa"/>
                  <w:tcBorders>
                    <w:tl2br w:val="nil"/>
                    <w:tr2bl w:val="nil"/>
                  </w:tcBorders>
                  <w:vAlign w:val="center"/>
                </w:tcPr>
                <w:p>
                  <w:pPr>
                    <w:tabs>
                      <w:tab w:val="left" w:pos="2640"/>
                    </w:tabs>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噪声</w:t>
                  </w:r>
                </w:p>
              </w:tc>
              <w:tc>
                <w:tcPr>
                  <w:tcW w:w="1389" w:type="dxa"/>
                  <w:tcBorders>
                    <w:tl2br w:val="nil"/>
                    <w:tr2bl w:val="nil"/>
                  </w:tcBorders>
                  <w:vAlign w:val="center"/>
                </w:tcPr>
                <w:p>
                  <w:pPr>
                    <w:tabs>
                      <w:tab w:val="left" w:pos="2640"/>
                    </w:tabs>
                    <w:adjustRightInd w:val="0"/>
                    <w:snapToGri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lang w:eastAsia="zh-CN"/>
                    </w:rPr>
                    <w:t>一、二期</w:t>
                  </w:r>
                  <w:r>
                    <w:rPr>
                      <w:rFonts w:ascii="Times New Roman" w:hAnsi="Times New Roman" w:eastAsia="宋体" w:cs="Times New Roman"/>
                      <w:color w:val="auto"/>
                      <w:szCs w:val="21"/>
                    </w:rPr>
                    <w:t>施工设备、车辆</w:t>
                  </w:r>
                </w:p>
              </w:tc>
              <w:tc>
                <w:tcPr>
                  <w:tcW w:w="2315" w:type="dxa"/>
                  <w:tcBorders>
                    <w:tl2br w:val="nil"/>
                    <w:tr2bl w:val="nil"/>
                  </w:tcBorders>
                  <w:vAlign w:val="center"/>
                </w:tcPr>
                <w:p>
                  <w:pPr>
                    <w:tabs>
                      <w:tab w:val="left" w:pos="2640"/>
                    </w:tabs>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等效连续A声级(dB(A))</w:t>
                  </w:r>
                </w:p>
              </w:tc>
              <w:tc>
                <w:tcPr>
                  <w:tcW w:w="2736" w:type="dxa"/>
                  <w:tcBorders>
                    <w:tl2br w:val="nil"/>
                    <w:tr2bl w:val="nil"/>
                  </w:tcBorders>
                  <w:vAlign w:val="center"/>
                </w:tcPr>
                <w:p>
                  <w:pPr>
                    <w:tabs>
                      <w:tab w:val="left" w:pos="2640"/>
                    </w:tabs>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尽量选用低噪声设备，建临时隔声屏障，加强设备维护和限制施工时间，禁止鸣笛</w:t>
                  </w:r>
                </w:p>
              </w:tc>
              <w:tc>
                <w:tcPr>
                  <w:tcW w:w="1393" w:type="dxa"/>
                  <w:tcBorders>
                    <w:tl2br w:val="nil"/>
                    <w:tr2bl w:val="nil"/>
                  </w:tcBorders>
                  <w:vAlign w:val="center"/>
                </w:tcPr>
                <w:p>
                  <w:pPr>
                    <w:tabs>
                      <w:tab w:val="left" w:pos="2640"/>
                    </w:tabs>
                    <w:adjustRightInd w:val="0"/>
                    <w:snapToGri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达标排放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1" w:type="dxa"/>
                  <w:vMerge w:val="restart"/>
                  <w:tcBorders>
                    <w:tl2br w:val="nil"/>
                    <w:tr2bl w:val="nil"/>
                  </w:tcBorders>
                  <w:vAlign w:val="center"/>
                </w:tcPr>
                <w:p>
                  <w:pPr>
                    <w:tabs>
                      <w:tab w:val="left" w:pos="2640"/>
                    </w:tabs>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固废</w:t>
                  </w:r>
                </w:p>
              </w:tc>
              <w:tc>
                <w:tcPr>
                  <w:tcW w:w="1389" w:type="dxa"/>
                  <w:vMerge w:val="restart"/>
                  <w:tcBorders>
                    <w:tl2br w:val="nil"/>
                    <w:tr2bl w:val="nil"/>
                  </w:tcBorders>
                  <w:vAlign w:val="center"/>
                </w:tcPr>
                <w:p>
                  <w:pPr>
                    <w:tabs>
                      <w:tab w:val="left" w:pos="2640"/>
                    </w:tabs>
                    <w:adjustRightInd w:val="0"/>
                    <w:snapToGri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lang w:eastAsia="zh-CN"/>
                    </w:rPr>
                    <w:t>一、二期</w:t>
                  </w:r>
                  <w:r>
                    <w:rPr>
                      <w:rFonts w:ascii="Times New Roman" w:hAnsi="Times New Roman" w:eastAsia="宋体" w:cs="Times New Roman"/>
                      <w:color w:val="auto"/>
                      <w:szCs w:val="21"/>
                    </w:rPr>
                    <w:t>施工期</w:t>
                  </w:r>
                </w:p>
              </w:tc>
              <w:tc>
                <w:tcPr>
                  <w:tcW w:w="2315" w:type="dxa"/>
                  <w:tcBorders>
                    <w:tl2br w:val="nil"/>
                    <w:tr2bl w:val="nil"/>
                  </w:tcBorders>
                  <w:vAlign w:val="center"/>
                </w:tcPr>
                <w:p>
                  <w:pPr>
                    <w:tabs>
                      <w:tab w:val="left" w:pos="2640"/>
                    </w:tabs>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施工生活垃圾</w:t>
                  </w:r>
                </w:p>
              </w:tc>
              <w:tc>
                <w:tcPr>
                  <w:tcW w:w="2736" w:type="dxa"/>
                  <w:tcBorders>
                    <w:tl2br w:val="nil"/>
                    <w:tr2bl w:val="nil"/>
                  </w:tcBorders>
                  <w:vAlign w:val="center"/>
                </w:tcPr>
                <w:p>
                  <w:pPr>
                    <w:tabs>
                      <w:tab w:val="left" w:pos="2640"/>
                    </w:tabs>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环卫部门定期清运</w:t>
                  </w:r>
                </w:p>
              </w:tc>
              <w:tc>
                <w:tcPr>
                  <w:tcW w:w="1393" w:type="dxa"/>
                  <w:tcBorders>
                    <w:tl2br w:val="nil"/>
                    <w:tr2bl w:val="nil"/>
                  </w:tcBorders>
                  <w:vAlign w:val="center"/>
                </w:tcPr>
                <w:p>
                  <w:pPr>
                    <w:tabs>
                      <w:tab w:val="left" w:pos="2640"/>
                    </w:tabs>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不产生二次污染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1" w:type="dxa"/>
                  <w:vMerge w:val="continue"/>
                  <w:tcBorders>
                    <w:tl2br w:val="nil"/>
                    <w:tr2bl w:val="nil"/>
                  </w:tcBorders>
                  <w:vAlign w:val="center"/>
                </w:tcPr>
                <w:p>
                  <w:pPr>
                    <w:tabs>
                      <w:tab w:val="left" w:pos="2640"/>
                    </w:tabs>
                    <w:adjustRightInd w:val="0"/>
                    <w:snapToGrid w:val="0"/>
                    <w:jc w:val="center"/>
                    <w:rPr>
                      <w:rFonts w:ascii="Times New Roman" w:hAnsi="Times New Roman" w:eastAsia="宋体" w:cs="Times New Roman"/>
                      <w:color w:val="auto"/>
                      <w:szCs w:val="21"/>
                    </w:rPr>
                  </w:pPr>
                </w:p>
              </w:tc>
              <w:tc>
                <w:tcPr>
                  <w:tcW w:w="1389" w:type="dxa"/>
                  <w:vMerge w:val="continue"/>
                  <w:tcBorders>
                    <w:tl2br w:val="nil"/>
                    <w:tr2bl w:val="nil"/>
                  </w:tcBorders>
                  <w:vAlign w:val="center"/>
                </w:tcPr>
                <w:p>
                  <w:pPr>
                    <w:tabs>
                      <w:tab w:val="left" w:pos="2640"/>
                    </w:tabs>
                    <w:adjustRightInd w:val="0"/>
                    <w:snapToGrid w:val="0"/>
                    <w:jc w:val="center"/>
                    <w:rPr>
                      <w:rFonts w:ascii="Times New Roman" w:hAnsi="Times New Roman" w:eastAsia="宋体" w:cs="Times New Roman"/>
                      <w:color w:val="auto"/>
                      <w:szCs w:val="21"/>
                    </w:rPr>
                  </w:pPr>
                </w:p>
              </w:tc>
              <w:tc>
                <w:tcPr>
                  <w:tcW w:w="2315" w:type="dxa"/>
                  <w:tcBorders>
                    <w:tl2br w:val="nil"/>
                    <w:tr2bl w:val="nil"/>
                  </w:tcBorders>
                  <w:vAlign w:val="center"/>
                </w:tcPr>
                <w:p>
                  <w:pPr>
                    <w:tabs>
                      <w:tab w:val="left" w:pos="2640"/>
                    </w:tabs>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淤泥</w:t>
                  </w:r>
                </w:p>
              </w:tc>
              <w:tc>
                <w:tcPr>
                  <w:tcW w:w="2736" w:type="dxa"/>
                  <w:tcBorders>
                    <w:tl2br w:val="nil"/>
                    <w:tr2bl w:val="nil"/>
                  </w:tcBorders>
                  <w:vAlign w:val="center"/>
                </w:tcPr>
                <w:p>
                  <w:pPr>
                    <w:tabs>
                      <w:tab w:val="left" w:pos="2640"/>
                    </w:tabs>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回填，用于基底修复工程</w:t>
                  </w:r>
                </w:p>
              </w:tc>
              <w:tc>
                <w:tcPr>
                  <w:tcW w:w="1393" w:type="dxa"/>
                  <w:tcBorders>
                    <w:tl2br w:val="nil"/>
                    <w:tr2bl w:val="nil"/>
                  </w:tcBorders>
                  <w:vAlign w:val="center"/>
                </w:tcPr>
                <w:p>
                  <w:pPr>
                    <w:tabs>
                      <w:tab w:val="left" w:pos="2640"/>
                    </w:tabs>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综合利用，无害化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1" w:type="dxa"/>
                  <w:tcBorders>
                    <w:tl2br w:val="nil"/>
                    <w:tr2bl w:val="nil"/>
                  </w:tcBorders>
                  <w:vAlign w:val="center"/>
                </w:tcPr>
                <w:p>
                  <w:pPr>
                    <w:tabs>
                      <w:tab w:val="left" w:pos="2640"/>
                    </w:tabs>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生态保护和挥发措施</w:t>
                  </w:r>
                </w:p>
              </w:tc>
              <w:tc>
                <w:tcPr>
                  <w:tcW w:w="6440" w:type="dxa"/>
                  <w:gridSpan w:val="3"/>
                  <w:tcBorders>
                    <w:tl2br w:val="nil"/>
                    <w:tr2bl w:val="nil"/>
                  </w:tcBorders>
                  <w:vAlign w:val="center"/>
                </w:tcPr>
                <w:p>
                  <w:pPr>
                    <w:tabs>
                      <w:tab w:val="left" w:pos="2640"/>
                    </w:tabs>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河道清淤，施工后生态恢复</w:t>
                  </w:r>
                </w:p>
              </w:tc>
              <w:tc>
                <w:tcPr>
                  <w:tcW w:w="1393" w:type="dxa"/>
                  <w:tcBorders>
                    <w:tl2br w:val="nil"/>
                    <w:tr2bl w:val="nil"/>
                  </w:tcBorders>
                  <w:vAlign w:val="center"/>
                </w:tcPr>
                <w:p>
                  <w:pPr>
                    <w:tabs>
                      <w:tab w:val="left" w:pos="2640"/>
                    </w:tabs>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有利于改善水质等</w:t>
                  </w:r>
                </w:p>
              </w:tc>
            </w:tr>
          </w:tbl>
          <w:p>
            <w:pPr>
              <w:tabs>
                <w:tab w:val="left" w:pos="2640"/>
              </w:tabs>
              <w:adjustRightInd w:val="0"/>
              <w:snapToGrid w:val="0"/>
              <w:spacing w:line="360" w:lineRule="auto"/>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环境管理</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为了保证项目开发过程中环境质量，在本次项目的建设过程中，必须加强施工期环境保护管理工作。</w:t>
            </w:r>
          </w:p>
          <w:p>
            <w:pPr>
              <w:tabs>
                <w:tab w:val="left" w:pos="2640"/>
              </w:tabs>
              <w:adjustRightInd w:val="0"/>
              <w:snapToGrid w:val="0"/>
              <w:spacing w:line="360" w:lineRule="auto"/>
              <w:ind w:firstLine="480" w:firstLineChars="200"/>
              <w:rPr>
                <w:rFonts w:ascii="宋体" w:hAnsi="宋体" w:eastAsia="宋体" w:cs="宋体"/>
                <w:color w:val="auto"/>
                <w:sz w:val="24"/>
                <w:szCs w:val="24"/>
              </w:rPr>
            </w:pPr>
            <w:r>
              <w:rPr>
                <w:rFonts w:hint="eastAsia" w:ascii="Times New Roman" w:hAnsi="Times New Roman" w:cs="Times New Roman"/>
                <w:color w:val="auto"/>
                <w:sz w:val="24"/>
                <w:szCs w:val="24"/>
              </w:rPr>
              <w:t>①向施工单位明确其在施工期间应当遵守的有关环境保护法律法规，要求施工单位采取</w:t>
            </w:r>
            <w:r>
              <w:rPr>
                <w:rFonts w:ascii="宋体" w:hAnsi="宋体" w:eastAsia="宋体" w:cs="宋体"/>
                <w:color w:val="auto"/>
                <w:sz w:val="24"/>
                <w:szCs w:val="24"/>
              </w:rPr>
              <w:t>切实可行措施，控制施工现场的各种粉尘、废气、废水、固体废弃物以及噪声震动等对环境的污染和危害。并要求施工单位签订环境保护责任书。</w:t>
            </w:r>
          </w:p>
          <w:p>
            <w:pPr>
              <w:tabs>
                <w:tab w:val="left" w:pos="2640"/>
              </w:tabs>
              <w:adjustRightInd w:val="0"/>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②</w:t>
            </w:r>
            <w:r>
              <w:rPr>
                <w:rFonts w:ascii="宋体" w:hAnsi="宋体" w:eastAsia="宋体" w:cs="宋体"/>
                <w:color w:val="auto"/>
                <w:sz w:val="24"/>
                <w:szCs w:val="24"/>
              </w:rPr>
              <w:t>在项目实施建设过程中，倡导“文明施工，清洁施工”的新风，由宜兴市有关职能部门牵头，做好施工现场的协调和环境保护管理工作。</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hint="eastAsia" w:ascii="宋体" w:hAnsi="宋体" w:eastAsia="宋体" w:cs="宋体"/>
                <w:color w:val="auto"/>
                <w:sz w:val="24"/>
                <w:szCs w:val="24"/>
              </w:rPr>
              <w:t>③</w:t>
            </w:r>
            <w:r>
              <w:rPr>
                <w:rFonts w:ascii="宋体" w:hAnsi="宋体" w:eastAsia="宋体" w:cs="宋体"/>
                <w:color w:val="auto"/>
                <w:sz w:val="24"/>
                <w:szCs w:val="24"/>
              </w:rPr>
              <w:t>在建设过程中，加强环境保护的宣传教育工作，在施工现场竖立醒目的环保标志，加强施工现场的环境监理、监测，建立环境质量档案，发现问题，及时通知有关部门、单位或企业进行整改，并监督整改措施的实施和验收。</w:t>
            </w:r>
          </w:p>
        </w:tc>
      </w:tr>
    </w:tbl>
    <w:p>
      <w:pPr>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0"/>
        <w:adjustRightInd w:val="0"/>
        <w:snapToGrid w:val="0"/>
        <w:rPr>
          <w:color w:val="auto"/>
        </w:rPr>
      </w:pPr>
      <w:r>
        <w:rPr>
          <w:rFonts w:hint="eastAsia"/>
          <w:color w:val="auto"/>
        </w:rPr>
        <w:t>八、</w:t>
      </w:r>
      <w:r>
        <w:rPr>
          <w:color w:val="auto"/>
        </w:rPr>
        <w:t>建设项目拟采取的防治措施及预期治理效果</w:t>
      </w:r>
    </w:p>
    <w:tbl>
      <w:tblPr>
        <w:tblStyle w:val="16"/>
        <w:tblW w:w="8980" w:type="dxa"/>
        <w:jc w:val="center"/>
        <w:tblInd w:w="-825"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04"/>
        <w:gridCol w:w="1614"/>
        <w:gridCol w:w="1462"/>
        <w:gridCol w:w="2903"/>
        <w:gridCol w:w="179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6" w:hRule="atLeast"/>
          <w:jc w:val="center"/>
        </w:trPr>
        <w:tc>
          <w:tcPr>
            <w:tcW w:w="1204" w:type="dxa"/>
            <w:tcBorders>
              <w:top w:val="single" w:color="auto" w:sz="4" w:space="0"/>
              <w:bottom w:val="single" w:color="auto" w:sz="4" w:space="0"/>
              <w:tl2br w:val="single" w:color="auto" w:sz="4" w:space="0"/>
            </w:tcBorders>
            <w:vAlign w:val="center"/>
          </w:tcPr>
          <w:p>
            <w:pPr>
              <w:tabs>
                <w:tab w:val="left" w:pos="2640"/>
              </w:tabs>
              <w:adjustRightInd w:val="0"/>
              <w:snapToGrid w:val="0"/>
              <w:jc w:val="right"/>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内容</w:t>
            </w:r>
          </w:p>
          <w:p>
            <w:pPr>
              <w:tabs>
                <w:tab w:val="left" w:pos="2640"/>
              </w:tabs>
              <w:adjustRightInd w:val="0"/>
              <w:snapToGrid w:val="0"/>
              <w:jc w:val="left"/>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类型</w:t>
            </w:r>
          </w:p>
        </w:tc>
        <w:tc>
          <w:tcPr>
            <w:tcW w:w="1614"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排放源（编号）</w:t>
            </w:r>
          </w:p>
        </w:tc>
        <w:tc>
          <w:tcPr>
            <w:tcW w:w="1462"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污染物名称</w:t>
            </w:r>
          </w:p>
        </w:tc>
        <w:tc>
          <w:tcPr>
            <w:tcW w:w="2903"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防治措施</w:t>
            </w:r>
          </w:p>
        </w:tc>
        <w:tc>
          <w:tcPr>
            <w:tcW w:w="1797"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预期治理效果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204" w:type="dxa"/>
            <w:vMerge w:val="restart"/>
            <w:tcBorders>
              <w:top w:val="single" w:color="auto" w:sz="4" w:space="0"/>
            </w:tcBorders>
            <w:vAlign w:val="center"/>
          </w:tcPr>
          <w:p>
            <w:pPr>
              <w:tabs>
                <w:tab w:val="left" w:pos="2640"/>
              </w:tabs>
              <w:adjustRightInd w:val="0"/>
              <w:snapToGrid w:val="0"/>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大气污染物</w:t>
            </w:r>
          </w:p>
        </w:tc>
        <w:tc>
          <w:tcPr>
            <w:tcW w:w="1614" w:type="dxa"/>
            <w:tcBorders>
              <w:top w:val="single" w:color="auto" w:sz="4" w:space="0"/>
            </w:tcBorders>
            <w:vAlign w:val="center"/>
          </w:tcPr>
          <w:p>
            <w:pPr>
              <w:tabs>
                <w:tab w:val="left" w:pos="2640"/>
              </w:tabs>
              <w:adjustRightInd w:val="0"/>
              <w:snapToGrid w:val="0"/>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施工设备、施工车辆</w:t>
            </w:r>
            <w:r>
              <w:rPr>
                <w:rFonts w:hint="eastAsia" w:ascii="Times New Roman" w:hAnsi="Times New Roman" w:cs="Times New Roman"/>
                <w:color w:val="auto"/>
                <w:sz w:val="24"/>
                <w:szCs w:val="24"/>
                <w:lang w:eastAsia="zh-CN"/>
              </w:rPr>
              <w:t>（一、二期）</w:t>
            </w:r>
          </w:p>
        </w:tc>
        <w:tc>
          <w:tcPr>
            <w:tcW w:w="1462"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施工扬尘、车辆尾气等</w:t>
            </w:r>
          </w:p>
        </w:tc>
        <w:tc>
          <w:tcPr>
            <w:tcW w:w="2903"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cs="Times New Roman"/>
                <w:color w:val="auto"/>
                <w:sz w:val="24"/>
                <w:szCs w:val="24"/>
              </w:rPr>
            </w:pPr>
            <w:r>
              <w:rPr>
                <w:rFonts w:ascii="Times New Roman" w:hAnsi="Times New Roman" w:eastAsia="宋体" w:cs="Times New Roman"/>
                <w:color w:val="auto"/>
                <w:sz w:val="24"/>
                <w:szCs w:val="24"/>
              </w:rPr>
              <w:t>加强管理、对场地及堆土及时洒水，设置临时围护，避免在大风天气下进行土石方施工，运输车辆要进行遮盖，减少车辆滞留时间等</w:t>
            </w:r>
          </w:p>
        </w:tc>
        <w:tc>
          <w:tcPr>
            <w:tcW w:w="1797" w:type="dxa"/>
            <w:vMerge w:val="restart"/>
            <w:tcBorders>
              <w:top w:val="single" w:color="auto" w:sz="4" w:space="0"/>
            </w:tcBorders>
            <w:vAlign w:val="center"/>
          </w:tcPr>
          <w:p>
            <w:pPr>
              <w:tabs>
                <w:tab w:val="left" w:pos="2640"/>
              </w:tabs>
              <w:adjustRightInd w:val="0"/>
              <w:snapToGrid w:val="0"/>
              <w:jc w:val="center"/>
              <w:rPr>
                <w:rFonts w:ascii="Times New Roman" w:hAnsi="Times New Roman" w:cs="Times New Roman"/>
                <w:color w:val="auto"/>
                <w:sz w:val="24"/>
                <w:szCs w:val="24"/>
              </w:rPr>
            </w:pPr>
            <w:r>
              <w:rPr>
                <w:rFonts w:hint="eastAsia" w:ascii="Times New Roman" w:hAnsi="Times New Roman" w:eastAsia="宋体" w:cs="Times New Roman"/>
                <w:color w:val="auto"/>
                <w:sz w:val="24"/>
                <w:szCs w:val="24"/>
              </w:rPr>
              <w:t>达标排放，</w:t>
            </w:r>
            <w:r>
              <w:rPr>
                <w:rFonts w:ascii="宋体" w:hAnsi="宋体" w:eastAsia="宋体" w:cs="宋体"/>
                <w:color w:val="auto"/>
                <w:sz w:val="24"/>
                <w:szCs w:val="24"/>
              </w:rPr>
              <w:t>随施工结束影响消失</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204" w:type="dxa"/>
            <w:vMerge w:val="continue"/>
            <w:tcBorders>
              <w:bottom w:val="single" w:color="auto" w:sz="4" w:space="0"/>
            </w:tcBorders>
            <w:vAlign w:val="center"/>
          </w:tcPr>
          <w:p>
            <w:pPr>
              <w:tabs>
                <w:tab w:val="left" w:pos="2640"/>
              </w:tabs>
              <w:adjustRightInd w:val="0"/>
              <w:snapToGrid w:val="0"/>
              <w:jc w:val="center"/>
              <w:rPr>
                <w:rFonts w:ascii="Times New Roman" w:hAnsi="Times New Roman" w:cs="Times New Roman"/>
                <w:color w:val="auto"/>
                <w:sz w:val="24"/>
                <w:szCs w:val="24"/>
              </w:rPr>
            </w:pPr>
          </w:p>
        </w:tc>
        <w:tc>
          <w:tcPr>
            <w:tcW w:w="1614" w:type="dxa"/>
            <w:tcBorders>
              <w:bottom w:val="single" w:color="auto" w:sz="4" w:space="0"/>
            </w:tcBorders>
            <w:vAlign w:val="center"/>
          </w:tcPr>
          <w:p>
            <w:pPr>
              <w:tabs>
                <w:tab w:val="left" w:pos="2640"/>
              </w:tabs>
              <w:adjustRightInd w:val="0"/>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淤泥</w:t>
            </w:r>
          </w:p>
          <w:p>
            <w:pPr>
              <w:tabs>
                <w:tab w:val="left" w:pos="2640"/>
              </w:tabs>
              <w:adjustRightInd w:val="0"/>
              <w:snapToGrid w:val="0"/>
              <w:jc w:val="center"/>
              <w:rPr>
                <w:rFonts w:ascii="Times New Roman" w:hAnsi="Times New Roman" w:cs="Times New Roman"/>
                <w:color w:val="auto"/>
                <w:sz w:val="24"/>
                <w:szCs w:val="24"/>
              </w:rPr>
            </w:pPr>
            <w:r>
              <w:rPr>
                <w:rFonts w:hint="eastAsia" w:ascii="Times New Roman" w:hAnsi="Times New Roman" w:cs="Times New Roman"/>
                <w:color w:val="auto"/>
                <w:sz w:val="24"/>
                <w:szCs w:val="24"/>
                <w:lang w:eastAsia="zh-CN"/>
              </w:rPr>
              <w:t>（一、二期）</w:t>
            </w:r>
          </w:p>
        </w:tc>
        <w:tc>
          <w:tcPr>
            <w:tcW w:w="1462"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恶臭</w:t>
            </w:r>
          </w:p>
        </w:tc>
        <w:tc>
          <w:tcPr>
            <w:tcW w:w="2903"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cs="Times New Roman"/>
                <w:color w:val="auto"/>
                <w:sz w:val="24"/>
                <w:szCs w:val="24"/>
              </w:rPr>
            </w:pPr>
            <w:r>
              <w:rPr>
                <w:rFonts w:ascii="Times New Roman" w:hAnsi="Times New Roman" w:eastAsia="宋体" w:cs="Times New Roman"/>
                <w:color w:val="auto"/>
                <w:sz w:val="24"/>
                <w:szCs w:val="24"/>
              </w:rPr>
              <w:t>加强防护，严格管理，以尽量减少恶臭的影响、及时清运、合理堆放。</w:t>
            </w:r>
          </w:p>
        </w:tc>
        <w:tc>
          <w:tcPr>
            <w:tcW w:w="1797" w:type="dxa"/>
            <w:vMerge w:val="continue"/>
            <w:tcBorders>
              <w:bottom w:val="single" w:color="auto" w:sz="4" w:space="0"/>
            </w:tcBorders>
            <w:vAlign w:val="center"/>
          </w:tcPr>
          <w:p>
            <w:pPr>
              <w:tabs>
                <w:tab w:val="left" w:pos="2640"/>
              </w:tabs>
              <w:adjustRightInd w:val="0"/>
              <w:snapToGrid w:val="0"/>
              <w:jc w:val="center"/>
              <w:rPr>
                <w:rFonts w:ascii="Times New Roman" w:hAnsi="Times New Roman"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204" w:type="dxa"/>
            <w:vMerge w:val="restart"/>
            <w:tcBorders>
              <w:top w:val="single" w:color="auto" w:sz="4" w:space="0"/>
            </w:tcBorders>
            <w:vAlign w:val="center"/>
          </w:tcPr>
          <w:p>
            <w:pPr>
              <w:tabs>
                <w:tab w:val="left" w:pos="2640"/>
              </w:tabs>
              <w:adjustRightInd w:val="0"/>
              <w:snapToGrid w:val="0"/>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水污染物</w:t>
            </w:r>
          </w:p>
        </w:tc>
        <w:tc>
          <w:tcPr>
            <w:tcW w:w="1614"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施工生活污水</w:t>
            </w:r>
            <w:r>
              <w:rPr>
                <w:rFonts w:hint="eastAsia" w:ascii="Times New Roman" w:hAnsi="Times New Roman" w:cs="Times New Roman"/>
                <w:color w:val="auto"/>
                <w:sz w:val="24"/>
                <w:szCs w:val="24"/>
                <w:lang w:eastAsia="zh-CN"/>
              </w:rPr>
              <w:t>（一、二期）</w:t>
            </w:r>
          </w:p>
        </w:tc>
        <w:tc>
          <w:tcPr>
            <w:tcW w:w="1462"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cs="Times New Roman"/>
                <w:color w:val="auto"/>
                <w:sz w:val="24"/>
                <w:szCs w:val="24"/>
              </w:rPr>
            </w:pPr>
            <w:r>
              <w:rPr>
                <w:rFonts w:ascii="Times New Roman" w:hAnsi="Times New Roman" w:eastAsia="宋体" w:cs="Times New Roman"/>
                <w:color w:val="auto"/>
                <w:sz w:val="24"/>
                <w:szCs w:val="24"/>
              </w:rPr>
              <w:t>COD、SS、NH</w:t>
            </w:r>
            <w:r>
              <w:rPr>
                <w:rFonts w:ascii="Times New Roman" w:hAnsi="Times New Roman" w:eastAsia="宋体" w:cs="Times New Roman"/>
                <w:color w:val="auto"/>
                <w:sz w:val="24"/>
                <w:szCs w:val="24"/>
                <w:vertAlign w:val="subscript"/>
              </w:rPr>
              <w:t>3</w:t>
            </w:r>
            <w:r>
              <w:rPr>
                <w:rFonts w:ascii="Times New Roman" w:hAnsi="Times New Roman" w:eastAsia="宋体" w:cs="Times New Roman"/>
                <w:color w:val="auto"/>
                <w:sz w:val="24"/>
                <w:szCs w:val="24"/>
              </w:rPr>
              <w:t>-N、TP</w:t>
            </w:r>
          </w:p>
        </w:tc>
        <w:tc>
          <w:tcPr>
            <w:tcW w:w="2903"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cs="Times New Roman"/>
                <w:color w:val="auto"/>
                <w:sz w:val="24"/>
                <w:szCs w:val="24"/>
              </w:rPr>
            </w:pPr>
            <w:r>
              <w:rPr>
                <w:rFonts w:hint="eastAsia" w:ascii="Times New Roman" w:hAnsi="Times New Roman" w:eastAsia="宋体" w:cs="Times New Roman"/>
                <w:color w:val="auto"/>
                <w:sz w:val="24"/>
                <w:szCs w:val="24"/>
              </w:rPr>
              <w:t>就近原有卫生设施达标接管</w:t>
            </w:r>
          </w:p>
        </w:tc>
        <w:tc>
          <w:tcPr>
            <w:tcW w:w="1797"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cs="Times New Roman"/>
                <w:color w:val="auto"/>
                <w:sz w:val="24"/>
                <w:szCs w:val="24"/>
              </w:rPr>
            </w:pPr>
            <w:r>
              <w:rPr>
                <w:rFonts w:ascii="Times New Roman" w:hAnsi="Times New Roman" w:eastAsia="宋体" w:cs="Times New Roman"/>
                <w:color w:val="auto"/>
                <w:sz w:val="24"/>
                <w:szCs w:val="24"/>
              </w:rPr>
              <w:t>达到接管标准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204" w:type="dxa"/>
            <w:vMerge w:val="continue"/>
            <w:tcBorders>
              <w:bottom w:val="single" w:color="auto" w:sz="4" w:space="0"/>
            </w:tcBorders>
            <w:vAlign w:val="center"/>
          </w:tcPr>
          <w:p>
            <w:pPr>
              <w:tabs>
                <w:tab w:val="left" w:pos="2640"/>
              </w:tabs>
              <w:adjustRightInd w:val="0"/>
              <w:snapToGrid w:val="0"/>
              <w:jc w:val="center"/>
              <w:rPr>
                <w:rFonts w:ascii="Times New Roman" w:hAnsi="Times New Roman" w:cs="Times New Roman"/>
                <w:color w:val="auto"/>
                <w:sz w:val="24"/>
                <w:szCs w:val="24"/>
              </w:rPr>
            </w:pPr>
          </w:p>
        </w:tc>
        <w:tc>
          <w:tcPr>
            <w:tcW w:w="1614"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施工</w:t>
            </w:r>
            <w:r>
              <w:rPr>
                <w:rFonts w:hint="eastAsia" w:ascii="Times New Roman" w:hAnsi="Times New Roman" w:eastAsia="宋体" w:cs="Times New Roman"/>
                <w:color w:val="auto"/>
                <w:sz w:val="24"/>
                <w:szCs w:val="24"/>
              </w:rPr>
              <w:t>废</w:t>
            </w:r>
            <w:r>
              <w:rPr>
                <w:rFonts w:ascii="Times New Roman" w:hAnsi="Times New Roman" w:eastAsia="宋体" w:cs="Times New Roman"/>
                <w:color w:val="auto"/>
                <w:sz w:val="24"/>
                <w:szCs w:val="24"/>
              </w:rPr>
              <w:t>水</w:t>
            </w:r>
          </w:p>
          <w:p>
            <w:pPr>
              <w:tabs>
                <w:tab w:val="left" w:pos="2640"/>
              </w:tabs>
              <w:adjustRightInd w:val="0"/>
              <w:snapToGrid w:val="0"/>
              <w:jc w:val="center"/>
              <w:rPr>
                <w:rFonts w:ascii="Times New Roman" w:hAnsi="Times New Roman" w:eastAsia="宋体" w:cs="Times New Roman"/>
                <w:color w:val="auto"/>
                <w:sz w:val="24"/>
                <w:szCs w:val="24"/>
              </w:rPr>
            </w:pPr>
            <w:r>
              <w:rPr>
                <w:rFonts w:hint="eastAsia" w:ascii="Times New Roman" w:hAnsi="Times New Roman" w:cs="Times New Roman"/>
                <w:color w:val="auto"/>
                <w:sz w:val="24"/>
                <w:szCs w:val="24"/>
                <w:lang w:eastAsia="zh-CN"/>
              </w:rPr>
              <w:t>（一、二期）</w:t>
            </w:r>
          </w:p>
        </w:tc>
        <w:tc>
          <w:tcPr>
            <w:tcW w:w="1462"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cs="Times New Roman"/>
                <w:color w:val="auto"/>
                <w:sz w:val="24"/>
                <w:szCs w:val="24"/>
              </w:rPr>
            </w:pPr>
            <w:r>
              <w:rPr>
                <w:rFonts w:ascii="Times New Roman" w:hAnsi="Times New Roman" w:eastAsia="宋体" w:cs="Times New Roman"/>
                <w:color w:val="auto"/>
                <w:sz w:val="24"/>
                <w:szCs w:val="24"/>
              </w:rPr>
              <w:t>COD、SS、石油类</w:t>
            </w:r>
          </w:p>
        </w:tc>
        <w:tc>
          <w:tcPr>
            <w:tcW w:w="2903"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cs="Times New Roman"/>
                <w:color w:val="auto"/>
                <w:sz w:val="24"/>
                <w:szCs w:val="24"/>
              </w:rPr>
            </w:pPr>
            <w:r>
              <w:rPr>
                <w:rFonts w:ascii="Times New Roman" w:hAnsi="Times New Roman" w:eastAsia="宋体" w:cs="Times New Roman"/>
                <w:color w:val="auto"/>
                <w:sz w:val="24"/>
                <w:szCs w:val="24"/>
              </w:rPr>
              <w:t>经沉淀处理后全部回用</w:t>
            </w:r>
          </w:p>
        </w:tc>
        <w:tc>
          <w:tcPr>
            <w:tcW w:w="1797"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cs="Times New Roman"/>
                <w:color w:val="auto"/>
                <w:sz w:val="24"/>
                <w:szCs w:val="24"/>
              </w:rPr>
            </w:pPr>
            <w:r>
              <w:rPr>
                <w:rFonts w:ascii="Times New Roman" w:hAnsi="Times New Roman" w:eastAsia="宋体" w:cs="Times New Roman"/>
                <w:color w:val="auto"/>
                <w:sz w:val="24"/>
                <w:szCs w:val="24"/>
              </w:rPr>
              <w:t>全部回用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204" w:type="dxa"/>
            <w:vMerge w:val="restart"/>
            <w:tcBorders>
              <w:top w:val="single" w:color="auto" w:sz="4" w:space="0"/>
            </w:tcBorders>
            <w:vAlign w:val="center"/>
          </w:tcPr>
          <w:p>
            <w:pPr>
              <w:tabs>
                <w:tab w:val="left" w:pos="2640"/>
              </w:tabs>
              <w:adjustRightInd w:val="0"/>
              <w:snapToGrid w:val="0"/>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固体废物</w:t>
            </w:r>
          </w:p>
        </w:tc>
        <w:tc>
          <w:tcPr>
            <w:tcW w:w="1614" w:type="dxa"/>
            <w:vMerge w:val="restart"/>
            <w:tcBorders>
              <w:top w:val="single" w:color="auto" w:sz="4" w:space="0"/>
            </w:tcBorders>
            <w:vAlign w:val="center"/>
          </w:tcPr>
          <w:p>
            <w:pPr>
              <w:tabs>
                <w:tab w:val="left" w:pos="2640"/>
              </w:tabs>
              <w:adjustRightInd w:val="0"/>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施工期</w:t>
            </w:r>
          </w:p>
          <w:p>
            <w:pPr>
              <w:tabs>
                <w:tab w:val="left" w:pos="2640"/>
              </w:tabs>
              <w:adjustRightInd w:val="0"/>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lang w:eastAsia="zh-CN"/>
              </w:rPr>
              <w:t>（一、二期）</w:t>
            </w:r>
          </w:p>
        </w:tc>
        <w:tc>
          <w:tcPr>
            <w:tcW w:w="1462"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cs="Times New Roman"/>
                <w:color w:val="auto"/>
                <w:sz w:val="24"/>
                <w:szCs w:val="24"/>
              </w:rPr>
            </w:pPr>
            <w:r>
              <w:rPr>
                <w:rFonts w:ascii="Times New Roman" w:hAnsi="Times New Roman" w:eastAsia="宋体" w:cs="Times New Roman"/>
                <w:color w:val="auto"/>
                <w:sz w:val="24"/>
                <w:szCs w:val="24"/>
              </w:rPr>
              <w:t>施工生活垃圾</w:t>
            </w:r>
          </w:p>
        </w:tc>
        <w:tc>
          <w:tcPr>
            <w:tcW w:w="2903"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cs="Times New Roman"/>
                <w:color w:val="auto"/>
                <w:sz w:val="24"/>
                <w:szCs w:val="24"/>
              </w:rPr>
            </w:pPr>
            <w:r>
              <w:rPr>
                <w:rFonts w:ascii="Times New Roman" w:hAnsi="Times New Roman" w:eastAsia="宋体" w:cs="Times New Roman"/>
                <w:color w:val="auto"/>
                <w:sz w:val="24"/>
                <w:szCs w:val="24"/>
              </w:rPr>
              <w:t>环卫部门定期清运</w:t>
            </w:r>
          </w:p>
        </w:tc>
        <w:tc>
          <w:tcPr>
            <w:tcW w:w="1797" w:type="dxa"/>
            <w:vMerge w:val="restart"/>
            <w:tcBorders>
              <w:top w:val="single" w:color="auto" w:sz="4" w:space="0"/>
            </w:tcBorders>
            <w:vAlign w:val="center"/>
          </w:tcPr>
          <w:p>
            <w:pPr>
              <w:tabs>
                <w:tab w:val="left" w:pos="2640"/>
              </w:tabs>
              <w:adjustRightInd w:val="0"/>
              <w:snapToGrid w:val="0"/>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100%处置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204" w:type="dxa"/>
            <w:vMerge w:val="continue"/>
            <w:tcBorders>
              <w:bottom w:val="single" w:color="auto" w:sz="4" w:space="0"/>
            </w:tcBorders>
            <w:vAlign w:val="center"/>
          </w:tcPr>
          <w:p>
            <w:pPr>
              <w:tabs>
                <w:tab w:val="left" w:pos="2640"/>
              </w:tabs>
              <w:adjustRightInd w:val="0"/>
              <w:snapToGrid w:val="0"/>
              <w:jc w:val="center"/>
              <w:rPr>
                <w:rFonts w:ascii="Times New Roman" w:hAnsi="Times New Roman" w:cs="Times New Roman"/>
                <w:color w:val="auto"/>
                <w:sz w:val="24"/>
                <w:szCs w:val="24"/>
              </w:rPr>
            </w:pPr>
          </w:p>
        </w:tc>
        <w:tc>
          <w:tcPr>
            <w:tcW w:w="1614" w:type="dxa"/>
            <w:vMerge w:val="continue"/>
            <w:tcBorders>
              <w:bottom w:val="single" w:color="auto" w:sz="4" w:space="0"/>
            </w:tcBorders>
            <w:vAlign w:val="center"/>
          </w:tcPr>
          <w:p>
            <w:pPr>
              <w:tabs>
                <w:tab w:val="left" w:pos="2640"/>
              </w:tabs>
              <w:adjustRightInd w:val="0"/>
              <w:snapToGrid w:val="0"/>
              <w:jc w:val="center"/>
              <w:rPr>
                <w:rFonts w:ascii="Times New Roman" w:hAnsi="Times New Roman" w:cs="Times New Roman"/>
                <w:color w:val="auto"/>
                <w:sz w:val="24"/>
                <w:szCs w:val="24"/>
              </w:rPr>
            </w:pPr>
          </w:p>
        </w:tc>
        <w:tc>
          <w:tcPr>
            <w:tcW w:w="1462"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cs="Times New Roman"/>
                <w:color w:val="auto"/>
                <w:sz w:val="24"/>
                <w:szCs w:val="24"/>
              </w:rPr>
            </w:pPr>
            <w:r>
              <w:rPr>
                <w:rFonts w:ascii="Times New Roman" w:hAnsi="Times New Roman" w:eastAsia="宋体" w:cs="Times New Roman"/>
                <w:color w:val="auto"/>
                <w:sz w:val="24"/>
                <w:szCs w:val="24"/>
              </w:rPr>
              <w:t>淤泥</w:t>
            </w:r>
          </w:p>
        </w:tc>
        <w:tc>
          <w:tcPr>
            <w:tcW w:w="2903"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cs="Times New Roman"/>
                <w:color w:val="auto"/>
                <w:sz w:val="24"/>
                <w:szCs w:val="24"/>
              </w:rPr>
            </w:pPr>
            <w:r>
              <w:rPr>
                <w:rFonts w:ascii="Times New Roman" w:hAnsi="Times New Roman" w:eastAsia="宋体" w:cs="Times New Roman"/>
                <w:color w:val="auto"/>
                <w:sz w:val="24"/>
                <w:szCs w:val="24"/>
              </w:rPr>
              <w:t>回填，用于基底修复工程</w:t>
            </w:r>
          </w:p>
        </w:tc>
        <w:tc>
          <w:tcPr>
            <w:tcW w:w="1797" w:type="dxa"/>
            <w:vMerge w:val="continue"/>
            <w:tcBorders>
              <w:bottom w:val="single" w:color="auto" w:sz="4" w:space="0"/>
            </w:tcBorders>
            <w:vAlign w:val="center"/>
          </w:tcPr>
          <w:p>
            <w:pPr>
              <w:tabs>
                <w:tab w:val="left" w:pos="2640"/>
              </w:tabs>
              <w:adjustRightInd w:val="0"/>
              <w:snapToGrid w:val="0"/>
              <w:jc w:val="center"/>
              <w:rPr>
                <w:rFonts w:ascii="Times New Roman" w:hAnsi="Times New Roman"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204"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噪声</w:t>
            </w:r>
          </w:p>
        </w:tc>
        <w:tc>
          <w:tcPr>
            <w:tcW w:w="1614" w:type="dxa"/>
            <w:tcBorders>
              <w:top w:val="single" w:color="auto" w:sz="4" w:space="0"/>
              <w:bottom w:val="single" w:color="auto" w:sz="4" w:space="0"/>
            </w:tcBorders>
            <w:vAlign w:val="center"/>
          </w:tcPr>
          <w:p>
            <w:pPr>
              <w:tabs>
                <w:tab w:val="left" w:pos="2640"/>
              </w:tabs>
              <w:adjustRightInd w:val="0"/>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施工机械</w:t>
            </w:r>
          </w:p>
          <w:p>
            <w:pPr>
              <w:tabs>
                <w:tab w:val="left" w:pos="2640"/>
              </w:tabs>
              <w:adjustRightInd w:val="0"/>
              <w:snapToGrid w:val="0"/>
              <w:jc w:val="center"/>
              <w:rPr>
                <w:rFonts w:hint="eastAsia" w:ascii="Times New Roman" w:hAnsi="Times New Roman" w:cs="Times New Roman"/>
                <w:color w:val="auto"/>
                <w:sz w:val="24"/>
                <w:szCs w:val="24"/>
              </w:rPr>
            </w:pPr>
            <w:r>
              <w:rPr>
                <w:rFonts w:hint="eastAsia" w:ascii="Times New Roman" w:hAnsi="Times New Roman" w:cs="Times New Roman"/>
                <w:color w:val="auto"/>
                <w:sz w:val="24"/>
                <w:szCs w:val="24"/>
                <w:lang w:eastAsia="zh-CN"/>
              </w:rPr>
              <w:t>（一、二期）</w:t>
            </w:r>
          </w:p>
        </w:tc>
        <w:tc>
          <w:tcPr>
            <w:tcW w:w="1462"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施工噪声</w:t>
            </w:r>
          </w:p>
        </w:tc>
        <w:tc>
          <w:tcPr>
            <w:tcW w:w="2903"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cs="Times New Roman"/>
                <w:color w:val="auto"/>
                <w:sz w:val="24"/>
                <w:szCs w:val="24"/>
              </w:rPr>
            </w:pPr>
            <w:r>
              <w:rPr>
                <w:rFonts w:ascii="宋体" w:hAnsi="宋体" w:eastAsia="宋体" w:cs="宋体"/>
                <w:color w:val="auto"/>
                <w:sz w:val="24"/>
                <w:szCs w:val="24"/>
              </w:rPr>
              <w:t>采用低噪声机械，强噪声设备隔声隔振。施工作业中必须合理安排各类施工机械工作时间，夜间不进行强噪声机械施工。</w:t>
            </w:r>
          </w:p>
        </w:tc>
        <w:tc>
          <w:tcPr>
            <w:tcW w:w="1797" w:type="dxa"/>
            <w:tcBorders>
              <w:top w:val="single" w:color="auto" w:sz="4" w:space="0"/>
              <w:bottom w:val="single" w:color="auto" w:sz="4" w:space="0"/>
            </w:tcBorders>
            <w:vAlign w:val="center"/>
          </w:tcPr>
          <w:p>
            <w:pPr>
              <w:tabs>
                <w:tab w:val="left" w:pos="2640"/>
              </w:tabs>
              <w:adjustRightInd w:val="0"/>
              <w:snapToGrid w:val="0"/>
              <w:jc w:val="center"/>
              <w:rPr>
                <w:rFonts w:ascii="Times New Roman" w:hAnsi="Times New Roman" w:cs="Times New Roman"/>
                <w:color w:val="auto"/>
                <w:sz w:val="24"/>
                <w:szCs w:val="24"/>
              </w:rPr>
            </w:pPr>
            <w:r>
              <w:rPr>
                <w:rFonts w:ascii="宋体" w:hAnsi="宋体" w:eastAsia="宋体" w:cs="宋体"/>
                <w:color w:val="auto"/>
                <w:sz w:val="24"/>
                <w:szCs w:val="24"/>
              </w:rPr>
              <w:t>场界噪声达标排放，并且不降低周围环境功能区声环境质量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jc w:val="center"/>
        </w:trPr>
        <w:tc>
          <w:tcPr>
            <w:tcW w:w="8980" w:type="dxa"/>
            <w:gridSpan w:val="5"/>
            <w:tcBorders>
              <w:top w:val="single" w:color="auto" w:sz="4" w:space="0"/>
              <w:bottom w:val="single" w:color="auto" w:sz="4" w:space="0"/>
            </w:tcBorders>
            <w:vAlign w:val="center"/>
          </w:tcPr>
          <w:p>
            <w:pPr>
              <w:tabs>
                <w:tab w:val="left" w:pos="2640"/>
              </w:tabs>
              <w:adjustRightInd w:val="0"/>
              <w:snapToGrid w:val="0"/>
              <w:spacing w:line="360" w:lineRule="auto"/>
              <w:rPr>
                <w:rFonts w:ascii="Times New Roman" w:hAnsi="Times New Roman" w:cs="Times New Roman"/>
                <w:b/>
                <w:bCs/>
                <w:color w:val="auto"/>
                <w:sz w:val="24"/>
                <w:szCs w:val="24"/>
              </w:rPr>
            </w:pPr>
            <w:r>
              <w:rPr>
                <w:rFonts w:ascii="宋体" w:hAnsi="宋体" w:eastAsia="宋体" w:cs="宋体"/>
                <w:b/>
                <w:bCs/>
                <w:color w:val="auto"/>
                <w:sz w:val="24"/>
                <w:szCs w:val="24"/>
              </w:rPr>
              <w:t>生态保护措施及预期效果</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ascii="宋体" w:hAnsi="宋体" w:eastAsia="宋体" w:cs="宋体"/>
                <w:color w:val="auto"/>
                <w:sz w:val="24"/>
                <w:szCs w:val="24"/>
              </w:rPr>
              <w:t>采取植被防护措施、生态修复技术、合理施工、加强管理临时占地恢复措施等防止水土流失措施，避免施工过程中生态环境严重破坏。项目完成后，周边生态环境质量明显提升。</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ascii="宋体" w:hAnsi="宋体" w:eastAsia="宋体" w:cs="宋体"/>
                <w:color w:val="auto"/>
                <w:sz w:val="24"/>
                <w:szCs w:val="24"/>
              </w:rPr>
              <w:t>本项目营运期对环境的影响利大于弊，通过涧底清淤，可降低底泥对上浮水的污染物释放强度，可有效提高水质，也可有效提高河道水体的水环境容量；同时加强了水体之间的沟通，增强了水体的流动性，从而强化河流水体富氧自净能力，进一步增加环境容量；随着生态清淤和生态修复的实施，河道水环境好转，生态环境也将进一步改善，从而有利于维持河道生态系统的平衡和生物多样性，促进区域生态系统的良性循环。同时，对美化乡村面貌起到一定的积极作用。</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ascii="宋体" w:hAnsi="宋体" w:eastAsia="宋体" w:cs="宋体"/>
                <w:color w:val="auto"/>
                <w:sz w:val="24"/>
                <w:szCs w:val="24"/>
              </w:rPr>
              <w:t>综上分析，本项目在施工期间对生态环境影响不大，而且通过采取相应的生态保护措施，尤其是通过施工管理和强化施工期的保护和恢复，本项目建设期对生态环境影响是可受的。</w:t>
            </w:r>
          </w:p>
        </w:tc>
      </w:tr>
    </w:tbl>
    <w:p>
      <w:pPr>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0"/>
        <w:adjustRightInd w:val="0"/>
        <w:snapToGrid w:val="0"/>
        <w:rPr>
          <w:color w:val="auto"/>
        </w:rPr>
      </w:pPr>
      <w:r>
        <w:rPr>
          <w:rFonts w:hint="eastAsia"/>
          <w:color w:val="auto"/>
        </w:rPr>
        <w:t>九、</w:t>
      </w:r>
      <w:r>
        <w:rPr>
          <w:color w:val="auto"/>
        </w:rPr>
        <w:t>结论与建议</w:t>
      </w:r>
    </w:p>
    <w:tbl>
      <w:tblPr>
        <w:tblStyle w:val="16"/>
        <w:tblW w:w="8980" w:type="dxa"/>
        <w:jc w:val="center"/>
        <w:tblInd w:w="-825"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98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8980" w:type="dxa"/>
            <w:tcBorders>
              <w:top w:val="single" w:color="auto" w:sz="4" w:space="0"/>
              <w:bottom w:val="single" w:color="auto" w:sz="4" w:space="0"/>
            </w:tcBorders>
          </w:tcPr>
          <w:p>
            <w:pPr>
              <w:tabs>
                <w:tab w:val="left" w:pos="2640"/>
              </w:tabs>
              <w:adjustRightInd w:val="0"/>
              <w:snapToGrid w:val="0"/>
              <w:spacing w:line="36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一、结论</w:t>
            </w:r>
          </w:p>
          <w:p>
            <w:pPr>
              <w:tabs>
                <w:tab w:val="left" w:pos="2640"/>
              </w:tabs>
              <w:adjustRightInd w:val="0"/>
              <w:snapToGrid w:val="0"/>
              <w:spacing w:line="360" w:lineRule="auto"/>
              <w:ind w:firstLine="480" w:firstLineChars="200"/>
              <w:rPr>
                <w:rFonts w:ascii="Times New Roman" w:hAnsi="Times New Roman" w:cs="Times New Roman"/>
                <w:color w:val="FF0000"/>
                <w:sz w:val="24"/>
                <w:szCs w:val="24"/>
              </w:rPr>
            </w:pPr>
            <w:r>
              <w:rPr>
                <w:rFonts w:hint="eastAsia" w:ascii="Times New Roman" w:hAnsi="Times New Roman" w:cs="Times New Roman"/>
                <w:color w:val="FF0000"/>
                <w:sz w:val="24"/>
                <w:szCs w:val="24"/>
              </w:rPr>
              <w:t>宜兴市水利工程建设管理中心</w:t>
            </w:r>
            <w:r>
              <w:rPr>
                <w:rFonts w:hint="eastAsia" w:ascii="Times New Roman" w:hAnsi="Times New Roman" w:cs="Times New Roman"/>
                <w:color w:val="FF0000"/>
                <w:sz w:val="24"/>
                <w:szCs w:val="24"/>
                <w:lang w:eastAsia="zh-CN"/>
              </w:rPr>
              <w:t>拟投资</w:t>
            </w:r>
            <w:r>
              <w:rPr>
                <w:rFonts w:hint="eastAsia" w:ascii="Times New Roman" w:hAnsi="Times New Roman" w:cs="Times New Roman"/>
                <w:color w:val="FF0000"/>
                <w:sz w:val="24"/>
                <w:szCs w:val="24"/>
                <w:lang w:val="en-US" w:eastAsia="zh-CN"/>
              </w:rPr>
              <w:t>6200万元于宜兴市丁蜀镇双桥港至黄渎港间太湖水域建设</w:t>
            </w:r>
            <w:r>
              <w:rPr>
                <w:rFonts w:ascii="Times New Roman" w:hAnsi="Times New Roman" w:cs="Times New Roman"/>
                <w:color w:val="FF0000"/>
                <w:sz w:val="24"/>
                <w:szCs w:val="24"/>
              </w:rPr>
              <w:t>太湖湖西大堤宜兴双桥港至黄渎港保滩固堤结合湖滨带生态修复工程，</w:t>
            </w:r>
            <w:r>
              <w:rPr>
                <w:rFonts w:hint="eastAsia" w:ascii="Times New Roman" w:hAnsi="Times New Roman" w:cs="Times New Roman"/>
                <w:bCs/>
                <w:color w:val="FF0000"/>
                <w:sz w:val="24"/>
                <w:shd w:val="clear"/>
                <w:lang w:eastAsia="zh-CN"/>
              </w:rPr>
              <w:t>建设规模约</w:t>
            </w:r>
            <w:r>
              <w:rPr>
                <w:rFonts w:hint="eastAsia" w:ascii="Times New Roman" w:hAnsi="Times New Roman" w:cs="Times New Roman"/>
                <w:bCs/>
                <w:color w:val="FF0000"/>
                <w:sz w:val="24"/>
                <w:shd w:val="clear"/>
                <w:lang w:val="en-US" w:eastAsia="zh-CN"/>
              </w:rPr>
              <w:t>600亩。</w:t>
            </w:r>
          </w:p>
          <w:p>
            <w:pPr>
              <w:tabs>
                <w:tab w:val="left" w:pos="2640"/>
              </w:tabs>
              <w:adjustRightInd w:val="0"/>
              <w:snapToGrid w:val="0"/>
              <w:spacing w:line="360" w:lineRule="auto"/>
              <w:ind w:firstLine="482" w:firstLineChars="200"/>
              <w:rPr>
                <w:rFonts w:ascii="Times New Roman" w:hAnsi="Times New Roman" w:cs="Times New Roman"/>
                <w:b/>
                <w:bCs/>
                <w:color w:val="auto"/>
                <w:sz w:val="24"/>
                <w:szCs w:val="24"/>
              </w:rPr>
            </w:pPr>
            <w:r>
              <w:rPr>
                <w:rFonts w:ascii="Times New Roman" w:hAnsi="Times New Roman" w:cs="Times New Roman"/>
                <w:b/>
                <w:bCs/>
                <w:color w:val="auto"/>
                <w:sz w:val="24"/>
                <w:szCs w:val="24"/>
              </w:rPr>
              <w:t>1、符合产业政策</w:t>
            </w:r>
          </w:p>
          <w:p>
            <w:pPr>
              <w:adjustRightInd w:val="0"/>
              <w:snapToGrid w:val="0"/>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经查实，本项目符合中华人民共和国发展和改革委员会2013年第21号发布的《产业结构调整指导目录（2011年本）（修订）》“鼓励类”中的“江河堤防建设及河道、水库治理工程”，为国家和地方鼓励的项目。</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rPr>
              <w:t>本项目不属于江苏省人民政府2013年3月15日修正的《江苏省工业和信息产业结构调整指导目录（2012年本）》中的限制类和淘汰类，属于允许类；属于《无锡市产业结构调整指导目录（试行）》（锡政办发[2008]6号）中规定的鼓励类中“城市防洪工程、水环境及河道综合整治”项目，属于《宜兴市产业导向目录（2008年修订）》“城市防洪工程、水环境及河道综合整治”。</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eastAsia="宋体" w:cs="Times New Roman"/>
                <w:color w:val="auto"/>
                <w:sz w:val="24"/>
                <w:szCs w:val="24"/>
              </w:rPr>
              <w:t>因此，本项目符合当前国家及地方产业政策要求。</w:t>
            </w:r>
          </w:p>
          <w:p>
            <w:pPr>
              <w:tabs>
                <w:tab w:val="left" w:pos="2640"/>
              </w:tabs>
              <w:adjustRightInd w:val="0"/>
              <w:snapToGrid w:val="0"/>
              <w:spacing w:line="360" w:lineRule="auto"/>
              <w:ind w:firstLine="482" w:firstLineChars="200"/>
              <w:rPr>
                <w:rFonts w:ascii="Times New Roman" w:hAnsi="Times New Roman" w:cs="Times New Roman"/>
                <w:b/>
                <w:bCs/>
                <w:color w:val="auto"/>
                <w:sz w:val="24"/>
                <w:szCs w:val="24"/>
              </w:rPr>
            </w:pPr>
            <w:r>
              <w:rPr>
                <w:rFonts w:ascii="Times New Roman" w:hAnsi="Times New Roman" w:cs="Times New Roman"/>
                <w:b/>
                <w:bCs/>
                <w:color w:val="auto"/>
                <w:sz w:val="24"/>
                <w:szCs w:val="24"/>
              </w:rPr>
              <w:t>2、符合镇区规划要求</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本项目为生态环境综合治理项目，符合丁蜀镇的总体规划和环保规划。</w:t>
            </w:r>
          </w:p>
          <w:p>
            <w:pPr>
              <w:adjustRightInd w:val="0"/>
              <w:snapToGrid w:val="0"/>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经查，本项目不属于太湖流域一级保护区禁止项目，符合《江苏省太湖水污染防治条例》（修正）（江苏省人民代表大会常务委员会公告第</w:t>
            </w:r>
            <w:r>
              <w:rPr>
                <w:rFonts w:ascii="Times New Roman" w:hAnsi="Times New Roman" w:eastAsia="ËÎÌå" w:cs="Times New Roman"/>
                <w:color w:val="auto"/>
                <w:sz w:val="24"/>
              </w:rPr>
              <w:t>113</w:t>
            </w:r>
            <w:r>
              <w:rPr>
                <w:rFonts w:ascii="Times New Roman" w:hAnsi="Times New Roman" w:eastAsia="宋体" w:cs="Times New Roman"/>
                <w:color w:val="auto"/>
                <w:sz w:val="24"/>
              </w:rPr>
              <w:t>号）。</w:t>
            </w:r>
          </w:p>
          <w:p>
            <w:pPr>
              <w:adjustRightInd w:val="0"/>
              <w:snapToGrid w:val="0"/>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本项目涉及《太湖流域管理条例》划定的保护区域，经查，不属于《太湖流域管理条例》中保护区禁止建设的项目，符合相关规定。</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eastAsia="宋体" w:cs="Times New Roman"/>
                <w:color w:val="auto"/>
                <w:sz w:val="24"/>
              </w:rPr>
              <w:t>经查，本项目位于宜兴市丁蜀镇太湖重要保护区，太湖重要保护区为二级管控区，本项目严格执行《江苏省太湖水污染防治条例》和《太湖流域管理条例》，符合规划要求。</w:t>
            </w:r>
          </w:p>
          <w:p>
            <w:pPr>
              <w:tabs>
                <w:tab w:val="left" w:pos="2640"/>
              </w:tabs>
              <w:adjustRightInd w:val="0"/>
              <w:snapToGrid w:val="0"/>
              <w:spacing w:line="360" w:lineRule="auto"/>
              <w:ind w:firstLine="482" w:firstLineChars="200"/>
              <w:rPr>
                <w:rFonts w:ascii="Times New Roman" w:hAnsi="Times New Roman" w:cs="Times New Roman"/>
                <w:b/>
                <w:bCs/>
                <w:color w:val="auto"/>
                <w:sz w:val="24"/>
                <w:szCs w:val="24"/>
              </w:rPr>
            </w:pPr>
            <w:r>
              <w:rPr>
                <w:rFonts w:ascii="Times New Roman" w:hAnsi="Times New Roman" w:cs="Times New Roman"/>
                <w:b/>
                <w:bCs/>
                <w:color w:val="auto"/>
                <w:sz w:val="24"/>
                <w:szCs w:val="24"/>
              </w:rPr>
              <w:t>3、环境质量现状满足功能区要求</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eastAsia="宋体" w:cs="Times New Roman"/>
                <w:color w:val="auto"/>
                <w:sz w:val="24"/>
              </w:rPr>
              <w:t>环境质量现状调查表明，项目建设所在地环境空气、区域环境噪声均达到相应功能区要求。</w:t>
            </w:r>
            <w:r>
              <w:rPr>
                <w:rFonts w:hint="eastAsia" w:ascii="Times New Roman" w:hAnsi="Times New Roman" w:eastAsia="宋体" w:cs="Times New Roman"/>
                <w:color w:val="auto"/>
                <w:sz w:val="24"/>
                <w:lang w:eastAsia="zh-CN"/>
              </w:rPr>
              <w:t>地表水环境</w:t>
            </w:r>
            <w:r>
              <w:rPr>
                <w:rFonts w:hint="eastAsia" w:ascii="Times New Roman" w:hAnsi="Times New Roman" w:eastAsia="宋体" w:cs="Times New Roman"/>
                <w:color w:val="auto"/>
                <w:sz w:val="24"/>
              </w:rPr>
              <w:t>中除氨氮、石油类浓度部分超标外能满足《地表水环境质量标准》（GB3838-2002）Ⅲ类标准，超标原因分析：一、周边地区部分生活污水没有处理直接排入河体所致；二、周围农田使用化肥，农田灌溉或下雨时流入河中所致；三、农村禽畜多为散养，产生的禽畜粪便、废水或其他废弃物随意排入附近水体（或随雨水进入附近水体）；四、来往的船舶较多，船舶燃油进入水体导致石油类超标。为保证水环境质量，相关部门正加强区域生活污水的集中收集处理，规范农村禽畜养殖及废水的排放，加强船舶监管。通过采取以上措施，可是区域地表水环境质量逐步改善</w:t>
            </w:r>
            <w:r>
              <w:rPr>
                <w:rFonts w:ascii="Times New Roman" w:hAnsi="Times New Roman" w:eastAsia="宋体" w:cs="Times New Roman"/>
                <w:color w:val="auto"/>
                <w:sz w:val="24"/>
              </w:rPr>
              <w:t>。</w:t>
            </w:r>
          </w:p>
          <w:p>
            <w:pPr>
              <w:tabs>
                <w:tab w:val="left" w:pos="2640"/>
              </w:tabs>
              <w:adjustRightInd w:val="0"/>
              <w:snapToGrid w:val="0"/>
              <w:spacing w:line="360" w:lineRule="auto"/>
              <w:ind w:firstLine="482" w:firstLineChars="200"/>
              <w:rPr>
                <w:rFonts w:ascii="Times New Roman" w:hAnsi="Times New Roman" w:cs="Times New Roman"/>
                <w:b/>
                <w:bCs/>
                <w:color w:val="auto"/>
                <w:sz w:val="24"/>
                <w:szCs w:val="24"/>
              </w:rPr>
            </w:pPr>
            <w:r>
              <w:rPr>
                <w:rFonts w:ascii="Times New Roman" w:hAnsi="Times New Roman" w:cs="Times New Roman"/>
                <w:b/>
                <w:bCs/>
                <w:color w:val="auto"/>
                <w:sz w:val="24"/>
                <w:szCs w:val="24"/>
              </w:rPr>
              <w:t>4、施工期污染防治措施</w:t>
            </w:r>
          </w:p>
          <w:p>
            <w:pPr>
              <w:tabs>
                <w:tab w:val="left" w:pos="2640"/>
              </w:tabs>
              <w:adjustRightInd w:val="0"/>
              <w:snapToGrid w:val="0"/>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（1）</w:t>
            </w:r>
            <w:r>
              <w:rPr>
                <w:rFonts w:ascii="Times New Roman" w:hAnsi="Times New Roman" w:eastAsia="宋体" w:cs="Times New Roman"/>
                <w:color w:val="auto"/>
                <w:sz w:val="24"/>
                <w:szCs w:val="24"/>
              </w:rPr>
              <w:t>废气防治措施</w:t>
            </w:r>
          </w:p>
          <w:p>
            <w:pPr>
              <w:tabs>
                <w:tab w:val="left" w:pos="2640"/>
              </w:tabs>
              <w:adjustRightInd w:val="0"/>
              <w:snapToGrid w:val="0"/>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施工期的产生的粉尘，采用湿法作业抑制扬尘，开挖土方应集中堆放，建筑材料的堆场处应定点定位，并采取适当的围挡、遮盖防尘措施，砂石尽量放于棚内，在迎风面用毡布或其它材料遮挡，敏感区域施工段设围栏。禁止不符合国家废气排放标准的施工机械、车辆进入场地。淤泥堆放场地布置时应充分优化，尽量远离居民点50m以上的位置并位于常年主导风向的下风向区域。因此，施工期废气</w:t>
            </w:r>
            <w:r>
              <w:rPr>
                <w:rFonts w:ascii="Times New Roman" w:hAnsi="Times New Roman" w:cs="Times New Roman"/>
                <w:color w:val="auto"/>
                <w:sz w:val="24"/>
                <w:szCs w:val="24"/>
              </w:rPr>
              <w:t>对周围空气环境影响较小。</w:t>
            </w:r>
          </w:p>
          <w:p>
            <w:pPr>
              <w:tabs>
                <w:tab w:val="left" w:pos="2640"/>
              </w:tabs>
              <w:adjustRightInd w:val="0"/>
              <w:snapToGrid w:val="0"/>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（2）废水环境影响分析</w:t>
            </w:r>
          </w:p>
          <w:p>
            <w:pPr>
              <w:tabs>
                <w:tab w:val="left" w:pos="2640"/>
              </w:tabs>
              <w:adjustRightInd w:val="0"/>
              <w:snapToGrid w:val="0"/>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施工期产生的生活污水，水质简单，施工人员利用就近的原有卫生设施，产生的生活污水经污水管网收集排入宜兴市华骐污水处理厂集中处理后达标排入蠡河。施工废水排入沉淀池内，经沉淀处理后方可排入区域污水截流系统或进行回收利用、用于洒水降尘。未经处理的泥浆水，严禁直接排入城市排水设施和河流。严禁油料泄漏或倾倒废油料，严禁施工船舶向水域排放未经过处理的机舱水。施工船舶机舱水由船舶自带油水分离器处理达到《船舶污染物排放标准》后拖运至宜兴市华骐污水处理有限公司处理。因此，施工期废水对周围水环境影响较小。</w:t>
            </w:r>
          </w:p>
          <w:p>
            <w:pPr>
              <w:tabs>
                <w:tab w:val="left" w:pos="2640"/>
              </w:tabs>
              <w:adjustRightInd w:val="0"/>
              <w:snapToGrid w:val="0"/>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（3）固体废物环境影响分析</w:t>
            </w:r>
          </w:p>
          <w:p>
            <w:pPr>
              <w:tabs>
                <w:tab w:val="left" w:pos="2640"/>
              </w:tabs>
              <w:adjustRightInd w:val="0"/>
              <w:snapToGrid w:val="0"/>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施工期固体废物主要是清淤污泥以及施工人员产生的生活垃圾。项目施工人员的生活垃圾经收集后交附近环卫处统一处理，对环境影响不大。本工程产生的淤泥经收集后回填用于基底修复工程，不排放。因此，施工固废对周边环境影响较小。</w:t>
            </w:r>
          </w:p>
          <w:p>
            <w:pPr>
              <w:tabs>
                <w:tab w:val="left" w:pos="2640"/>
              </w:tabs>
              <w:adjustRightInd w:val="0"/>
              <w:snapToGrid w:val="0"/>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（4）噪声防治措施</w:t>
            </w:r>
          </w:p>
          <w:p>
            <w:pPr>
              <w:tabs>
                <w:tab w:val="left" w:pos="2640"/>
              </w:tabs>
              <w:adjustRightInd w:val="0"/>
              <w:snapToGrid w:val="0"/>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施工期噪声主要来源于施工机械（推土机、挖掘机、水泵等）和车辆等产生的噪声污染。本项目施工期通过采用低噪声的施工机械，并且注意经常维护和保养；加强施工管理，合理安排施工作业时间，严格遵照地方环境噪声管理条例的有关规定，避免夜间进行高噪声施工作业等措施</w:t>
            </w:r>
            <w:r>
              <w:rPr>
                <w:rFonts w:ascii="Times New Roman" w:hAnsi="Times New Roman" w:eastAsia="宋体" w:cs="Times New Roman"/>
                <w:color w:val="auto"/>
                <w:sz w:val="24"/>
              </w:rPr>
              <w:t>可以确保</w:t>
            </w:r>
            <w:r>
              <w:rPr>
                <w:rFonts w:ascii="Times New Roman" w:hAnsi="Times New Roman" w:eastAsia="宋体" w:cs="Times New Roman"/>
                <w:color w:val="auto"/>
                <w:sz w:val="24"/>
                <w:szCs w:val="24"/>
              </w:rPr>
              <w:t>本项目噪声对厂界外环境的影响可得到有效控制，对周围声环境影响较小。</w:t>
            </w:r>
          </w:p>
          <w:p>
            <w:pPr>
              <w:tabs>
                <w:tab w:val="left" w:pos="2640"/>
              </w:tabs>
              <w:adjustRightInd w:val="0"/>
              <w:snapToGrid w:val="0"/>
              <w:spacing w:line="360" w:lineRule="auto"/>
              <w:ind w:firstLine="482" w:firstLineChars="200"/>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5、生态保护与补偿对策措施</w:t>
            </w:r>
          </w:p>
          <w:p>
            <w:pPr>
              <w:tabs>
                <w:tab w:val="left" w:pos="2640"/>
              </w:tabs>
              <w:adjustRightInd w:val="0"/>
              <w:snapToGrid w:val="0"/>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（1）优化施工方案，加强科学管理，在保证施工质量的前提下尽可能缩短施工时间，降低工程对河道生态环境的影响。</w:t>
            </w:r>
          </w:p>
          <w:p>
            <w:pPr>
              <w:tabs>
                <w:tab w:val="left" w:pos="2640"/>
              </w:tabs>
              <w:adjustRightInd w:val="0"/>
              <w:snapToGrid w:val="0"/>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（2）在工程施工阶段开展必要的调查和监测试验，加强对水质、生态和底泥的监测，同时应强化对环境保护的监理，以确保工程实施阶段污染控制，以切实达到保护水质和水生生态环境的目的。</w:t>
            </w:r>
          </w:p>
          <w:p>
            <w:pPr>
              <w:tabs>
                <w:tab w:val="left" w:pos="2640"/>
              </w:tabs>
              <w:adjustRightInd w:val="0"/>
              <w:snapToGrid w:val="0"/>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（3）为有效减少疏浚施工对底栖动物生态环境的影响，工程施工后应进行底栖动物的人工辅助恢复工作。</w:t>
            </w:r>
          </w:p>
          <w:p>
            <w:pPr>
              <w:tabs>
                <w:tab w:val="left" w:pos="2640"/>
              </w:tabs>
              <w:adjustRightInd w:val="0"/>
              <w:snapToGrid w:val="0"/>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（4）规范施工活动，施工活动应尽量控制在工程占地范围内，并注意保护占地边线以外的农田和植被，防止人为对工程范围外土壤、植被的破坏。</w:t>
            </w:r>
          </w:p>
          <w:p>
            <w:pPr>
              <w:tabs>
                <w:tab w:val="left" w:pos="2640"/>
              </w:tabs>
              <w:adjustRightInd w:val="0"/>
              <w:snapToGrid w:val="0"/>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（5）工程结束后，应在农业部门的指导下对排泥场及沉淀池等陆上临时占地进行土地复耕复植。</w:t>
            </w:r>
          </w:p>
          <w:p>
            <w:pPr>
              <w:tabs>
                <w:tab w:val="left" w:pos="2640"/>
              </w:tabs>
              <w:adjustRightInd w:val="0"/>
              <w:snapToGrid w:val="0"/>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6）施工中应加强监管，禁止捕捞当地鱼类及螺蛳等水生生物。在那些水生植被及底栖生物系统因工程施工而受到破坏的地区，通过生态石笼植草、土著底栖动物放养等生态修复技术，恢复当地的水生植被和底栖生物系统，同时为了增加生物多样性，对那些原本没有发现水生生物的区域应尽可能进行生态修复。</w:t>
            </w:r>
          </w:p>
          <w:p>
            <w:pPr>
              <w:tabs>
                <w:tab w:val="left" w:pos="2640"/>
              </w:tabs>
              <w:adjustRightInd w:val="0"/>
              <w:snapToGrid w:val="0"/>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（7）河道开挖工程完工后，应及时进行两岸绿化工程，在最短时间内完成河道两岸的绿化恢复，在河道护坡及两岸一定范围内撒播狗牙根草籽及种植树木，使区域环境得到较大程度的改观。</w:t>
            </w:r>
          </w:p>
          <w:p>
            <w:pPr>
              <w:tabs>
                <w:tab w:val="left" w:pos="2640"/>
              </w:tabs>
              <w:adjustRightInd w:val="0"/>
              <w:snapToGrid w:val="0"/>
              <w:spacing w:line="360" w:lineRule="auto"/>
              <w:ind w:firstLine="482" w:firstLineChars="200"/>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6、</w:t>
            </w:r>
            <w:r>
              <w:rPr>
                <w:rFonts w:hint="eastAsia" w:ascii="Times New Roman" w:hAnsi="Times New Roman" w:eastAsia="宋体" w:cs="Times New Roman"/>
                <w:b/>
                <w:bCs/>
                <w:color w:val="auto"/>
                <w:sz w:val="24"/>
                <w:szCs w:val="24"/>
              </w:rPr>
              <w:t>营运期</w:t>
            </w:r>
          </w:p>
          <w:p>
            <w:pPr>
              <w:tabs>
                <w:tab w:val="left" w:pos="2640"/>
              </w:tabs>
              <w:adjustRightInd w:val="0"/>
              <w:snapToGrid w:val="0"/>
              <w:spacing w:line="360" w:lineRule="auto"/>
              <w:ind w:firstLine="480" w:firstLineChars="200"/>
              <w:rPr>
                <w:rFonts w:ascii="Times New Roman" w:hAnsi="Times New Roman" w:eastAsia="宋体" w:cs="Times New Roman"/>
                <w:color w:val="auto"/>
                <w:sz w:val="24"/>
                <w:szCs w:val="24"/>
              </w:rPr>
            </w:pPr>
            <w:r>
              <w:rPr>
                <w:rFonts w:ascii="宋体" w:hAnsi="宋体" w:eastAsia="宋体" w:cs="宋体"/>
                <w:color w:val="auto"/>
                <w:sz w:val="24"/>
                <w:szCs w:val="24"/>
              </w:rPr>
              <w:t>本项目为无污染生态型环境工程，运营期中无“三废”排放。</w:t>
            </w:r>
          </w:p>
          <w:p>
            <w:pPr>
              <w:tabs>
                <w:tab w:val="left" w:pos="2640"/>
              </w:tabs>
              <w:adjustRightInd w:val="0"/>
              <w:snapToGrid w:val="0"/>
              <w:spacing w:line="360" w:lineRule="auto"/>
              <w:ind w:firstLine="482" w:firstLineChars="200"/>
              <w:rPr>
                <w:rFonts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7、总量控制</w:t>
            </w:r>
          </w:p>
          <w:p>
            <w:pPr>
              <w:tabs>
                <w:tab w:val="left" w:pos="2640"/>
              </w:tabs>
              <w:adjustRightInd w:val="0"/>
              <w:snapToGrid w:val="0"/>
              <w:spacing w:line="360" w:lineRule="auto"/>
              <w:ind w:firstLine="480" w:firstLineChars="200"/>
              <w:rPr>
                <w:rFonts w:ascii="Times New Roman" w:hAnsi="Times New Roman" w:eastAsia="宋体" w:cs="Times New Roman"/>
                <w:color w:val="auto"/>
                <w:sz w:val="24"/>
                <w:szCs w:val="24"/>
              </w:rPr>
            </w:pPr>
            <w:r>
              <w:rPr>
                <w:rFonts w:ascii="宋体" w:hAnsi="宋体" w:eastAsia="宋体" w:cs="宋体"/>
                <w:color w:val="auto"/>
                <w:sz w:val="24"/>
                <w:szCs w:val="24"/>
              </w:rPr>
              <w:t>本项目无废气废水排放，故无需申请总量。</w:t>
            </w:r>
          </w:p>
          <w:p>
            <w:pPr>
              <w:tabs>
                <w:tab w:val="left" w:pos="2640"/>
              </w:tabs>
              <w:adjustRightInd w:val="0"/>
              <w:snapToGrid w:val="0"/>
              <w:spacing w:line="360" w:lineRule="auto"/>
              <w:rPr>
                <w:rFonts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综合结论：</w:t>
            </w:r>
          </w:p>
          <w:p>
            <w:pPr>
              <w:tabs>
                <w:tab w:val="left" w:pos="2640"/>
              </w:tabs>
              <w:adjustRightInd w:val="0"/>
              <w:snapToGrid w:val="0"/>
              <w:spacing w:line="360" w:lineRule="auto"/>
              <w:ind w:firstLine="482" w:firstLineChars="200"/>
              <w:rPr>
                <w:rFonts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w:t>
            </w:r>
            <w:r>
              <w:rPr>
                <w:rFonts w:ascii="Times New Roman" w:hAnsi="Times New Roman" w:cs="Times New Roman"/>
                <w:b/>
                <w:bCs/>
                <w:color w:val="auto"/>
                <w:sz w:val="24"/>
                <w:szCs w:val="24"/>
              </w:rPr>
              <w:t>太湖湖西大堤宜兴双桥港至黄渎港保滩固堤结合湖滨带生态修复工程</w:t>
            </w:r>
            <w:r>
              <w:rPr>
                <w:rFonts w:hint="eastAsia" w:ascii="Times New Roman" w:hAnsi="Times New Roman" w:eastAsia="宋体" w:cs="Times New Roman"/>
                <w:b/>
                <w:bCs/>
                <w:color w:val="auto"/>
                <w:sz w:val="24"/>
                <w:szCs w:val="24"/>
              </w:rPr>
              <w:t>”的实施，将改善丁蜀镇地区水质</w:t>
            </w:r>
            <w:r>
              <w:rPr>
                <w:rFonts w:hint="eastAsia" w:ascii="宋体" w:hAnsi="宋体" w:eastAsia="宋体"/>
                <w:b/>
                <w:bCs/>
                <w:color w:val="auto"/>
                <w:sz w:val="24"/>
              </w:rPr>
              <w:t>，为地区的经济可持续发展提供条件。本项目的建成，将有助于旅游业发展，对工农业生产、社会生产，群众生活环境，以及区内各行业经济的可持续发展提供了极有利的条件。人民的生产生活水平将得到进一步改善，除此之外，受益区域的投资环境也将随之改善，周边土地可以进一步增值，充分体现了该项目的社会效益，经济效益和生态效益，环境效益的有机统一。工程建设和运行存在的主要环境问题是对局部水域水质和周边生态产生一定的不利影响，但可通过相应的环保措施予以减轻。工程施工期产生的三废排放和对生态环境的影响可通过相应的环保措施予以减轻。因此，从环境影响的角度，在切实落实环评中各项环境保护和生态保护措施的基础上，本项目的建设可行。</w:t>
            </w:r>
          </w:p>
          <w:p>
            <w:pPr>
              <w:tabs>
                <w:tab w:val="left" w:pos="2640"/>
              </w:tabs>
              <w:adjustRightInd w:val="0"/>
              <w:snapToGrid w:val="0"/>
              <w:spacing w:line="360" w:lineRule="auto"/>
              <w:rPr>
                <w:rFonts w:ascii="Times New Roman" w:hAnsi="Times New Roman" w:cs="Times New Roman"/>
                <w:color w:val="auto"/>
                <w:sz w:val="24"/>
                <w:szCs w:val="24"/>
              </w:rPr>
            </w:pPr>
          </w:p>
          <w:p>
            <w:pPr>
              <w:tabs>
                <w:tab w:val="left" w:pos="2640"/>
              </w:tabs>
              <w:adjustRightInd w:val="0"/>
              <w:snapToGrid w:val="0"/>
              <w:spacing w:line="360" w:lineRule="auto"/>
              <w:rPr>
                <w:rFonts w:ascii="Times New Roman" w:hAnsi="Times New Roman"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0351" w:hRule="atLeast"/>
          <w:jc w:val="center"/>
        </w:trPr>
        <w:tc>
          <w:tcPr>
            <w:tcW w:w="8980" w:type="dxa"/>
            <w:tcBorders>
              <w:top w:val="single" w:color="auto" w:sz="4" w:space="0"/>
              <w:bottom w:val="single" w:color="auto" w:sz="4" w:space="0"/>
            </w:tcBorders>
          </w:tcPr>
          <w:p>
            <w:pPr>
              <w:tabs>
                <w:tab w:val="left" w:pos="2640"/>
              </w:tabs>
              <w:adjustRightInd w:val="0"/>
              <w:snapToGrid w:val="0"/>
              <w:spacing w:line="360" w:lineRule="auto"/>
              <w:rPr>
                <w:rFonts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二、建议</w:t>
            </w:r>
          </w:p>
          <w:p>
            <w:pPr>
              <w:tabs>
                <w:tab w:val="left" w:pos="2640"/>
              </w:tabs>
              <w:adjustRightInd w:val="0"/>
              <w:snapToGrid w:val="0"/>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1．在前期准备工作中应调查生物产卵、孵化、育幼的时间，施工时应合理安排时序，尽可能减少对水生生物的影响。</w:t>
            </w:r>
          </w:p>
          <w:p>
            <w:pPr>
              <w:tabs>
                <w:tab w:val="left" w:pos="2640"/>
              </w:tabs>
              <w:adjustRightInd w:val="0"/>
              <w:snapToGrid w:val="0"/>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2．施工期应做好生态监理工作，及时反馈问题、调整工艺；项目建成后开展工程效果的监测和后评价工作。</w:t>
            </w:r>
          </w:p>
          <w:p>
            <w:pPr>
              <w:tabs>
                <w:tab w:val="left" w:pos="2640"/>
              </w:tabs>
              <w:adjustRightInd w:val="0"/>
              <w:snapToGrid w:val="0"/>
              <w:spacing w:line="360" w:lineRule="auto"/>
              <w:ind w:firstLine="480" w:firstLineChars="200"/>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t>3．本次环评仅限于</w:t>
            </w:r>
            <w:r>
              <w:rPr>
                <w:rFonts w:hint="eastAsia" w:ascii="Times New Roman" w:hAnsi="Times New Roman" w:cs="Times New Roman"/>
                <w:bCs/>
                <w:color w:val="FF0000"/>
                <w:sz w:val="24"/>
                <w:lang w:eastAsia="zh-CN"/>
              </w:rPr>
              <w:t>宜兴市水利工程建设管理中心</w:t>
            </w:r>
            <w:bookmarkStart w:id="0" w:name="_GoBack"/>
            <w:bookmarkEnd w:id="0"/>
            <w:r>
              <w:rPr>
                <w:rFonts w:ascii="Times New Roman" w:hAnsi="Times New Roman" w:eastAsia="宋体" w:cs="Times New Roman"/>
                <w:b w:val="0"/>
                <w:bCs w:val="0"/>
                <w:color w:val="auto"/>
                <w:sz w:val="24"/>
                <w:szCs w:val="24"/>
              </w:rPr>
              <w:t>拟进行的</w:t>
            </w:r>
            <w:r>
              <w:rPr>
                <w:rFonts w:hint="eastAsia" w:ascii="Times New Roman" w:hAnsi="Times New Roman" w:eastAsia="宋体" w:cs="Times New Roman"/>
                <w:b w:val="0"/>
                <w:bCs w:val="0"/>
                <w:color w:val="auto"/>
                <w:sz w:val="24"/>
                <w:szCs w:val="24"/>
              </w:rPr>
              <w:t>“</w:t>
            </w:r>
            <w:r>
              <w:rPr>
                <w:rFonts w:ascii="Times New Roman" w:hAnsi="Times New Roman" w:cs="Times New Roman"/>
                <w:b w:val="0"/>
                <w:bCs w:val="0"/>
                <w:color w:val="auto"/>
                <w:sz w:val="24"/>
                <w:szCs w:val="24"/>
              </w:rPr>
              <w:t>太湖湖西大堤宜兴双桥港至黄渎港保滩固堤结合湖滨带生态修复工程</w:t>
            </w:r>
            <w:r>
              <w:rPr>
                <w:rFonts w:hint="eastAsia" w:ascii="Times New Roman" w:hAnsi="Times New Roman" w:eastAsia="宋体" w:cs="Times New Roman"/>
                <w:b w:val="0"/>
                <w:bCs w:val="0"/>
                <w:color w:val="auto"/>
                <w:sz w:val="24"/>
                <w:szCs w:val="24"/>
              </w:rPr>
              <w:t>”</w:t>
            </w:r>
            <w:r>
              <w:rPr>
                <w:rFonts w:ascii="Times New Roman" w:hAnsi="Times New Roman" w:eastAsia="宋体" w:cs="Times New Roman"/>
                <w:b w:val="0"/>
                <w:bCs w:val="0"/>
                <w:color w:val="auto"/>
                <w:sz w:val="24"/>
                <w:szCs w:val="24"/>
              </w:rPr>
              <w:t>，项目实施地点、实施范围、建设内容、施工方案、时间安排等基础资料均由建设单位提供，若变动工程范围、扩大工程规模或变更工程建设内容，须报环保部门另行审批。</w:t>
            </w:r>
          </w:p>
          <w:p>
            <w:pPr>
              <w:tabs>
                <w:tab w:val="left" w:pos="2640"/>
              </w:tabs>
              <w:adjustRightInd w:val="0"/>
              <w:snapToGrid w:val="0"/>
              <w:spacing w:line="360" w:lineRule="auto"/>
              <w:rPr>
                <w:rFonts w:ascii="Times New Roman" w:hAnsi="Times New Roman"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309" w:hRule="atLeast"/>
          <w:jc w:val="center"/>
        </w:trPr>
        <w:tc>
          <w:tcPr>
            <w:tcW w:w="8980" w:type="dxa"/>
            <w:tcBorders>
              <w:top w:val="single" w:color="auto" w:sz="4" w:space="0"/>
              <w:bottom w:val="single" w:color="auto" w:sz="4" w:space="0"/>
            </w:tcBorders>
          </w:tcPr>
          <w:p>
            <w:pPr>
              <w:tabs>
                <w:tab w:val="left" w:pos="2640"/>
              </w:tabs>
              <w:adjustRightInd w:val="0"/>
              <w:snapToGrid w:val="0"/>
              <w:spacing w:line="360" w:lineRule="auto"/>
              <w:rPr>
                <w:rFonts w:ascii="Times New Roman" w:hAnsi="Times New Roman" w:cs="Times New Roman"/>
                <w:color w:val="auto"/>
                <w:sz w:val="24"/>
                <w:szCs w:val="24"/>
              </w:rPr>
            </w:pPr>
            <w:r>
              <w:rPr>
                <w:rFonts w:hint="eastAsia" w:ascii="Times New Roman" w:hAnsi="Times New Roman" w:cs="Times New Roman"/>
                <w:color w:val="auto"/>
                <w:sz w:val="24"/>
                <w:szCs w:val="24"/>
              </w:rPr>
              <w:t>预审意见：</w:t>
            </w:r>
          </w:p>
          <w:p>
            <w:pPr>
              <w:tabs>
                <w:tab w:val="left" w:pos="2640"/>
              </w:tabs>
              <w:adjustRightInd w:val="0"/>
              <w:snapToGrid w:val="0"/>
              <w:spacing w:line="360" w:lineRule="auto"/>
              <w:rPr>
                <w:rFonts w:ascii="Times New Roman" w:hAnsi="Times New Roman" w:cs="Times New Roman"/>
                <w:color w:val="auto"/>
                <w:sz w:val="24"/>
                <w:szCs w:val="24"/>
              </w:rPr>
            </w:pPr>
          </w:p>
          <w:p>
            <w:pPr>
              <w:tabs>
                <w:tab w:val="left" w:pos="2640"/>
              </w:tabs>
              <w:adjustRightInd w:val="0"/>
              <w:snapToGrid w:val="0"/>
              <w:spacing w:line="360" w:lineRule="auto"/>
              <w:rPr>
                <w:rFonts w:ascii="Times New Roman" w:hAnsi="Times New Roman" w:cs="Times New Roman"/>
                <w:color w:val="auto"/>
                <w:sz w:val="24"/>
                <w:szCs w:val="24"/>
              </w:rPr>
            </w:pPr>
          </w:p>
          <w:p>
            <w:pPr>
              <w:tabs>
                <w:tab w:val="left" w:pos="2640"/>
              </w:tabs>
              <w:adjustRightInd w:val="0"/>
              <w:snapToGrid w:val="0"/>
              <w:spacing w:line="360" w:lineRule="auto"/>
              <w:rPr>
                <w:rFonts w:ascii="Times New Roman" w:hAnsi="Times New Roman" w:cs="Times New Roman"/>
                <w:color w:val="auto"/>
                <w:sz w:val="24"/>
                <w:szCs w:val="24"/>
              </w:rPr>
            </w:pPr>
          </w:p>
          <w:p>
            <w:pPr>
              <w:tabs>
                <w:tab w:val="left" w:pos="2640"/>
              </w:tabs>
              <w:adjustRightInd w:val="0"/>
              <w:snapToGrid w:val="0"/>
              <w:spacing w:line="360" w:lineRule="auto"/>
              <w:rPr>
                <w:rFonts w:ascii="Times New Roman" w:hAnsi="Times New Roman" w:cs="Times New Roman"/>
                <w:color w:val="auto"/>
                <w:sz w:val="24"/>
                <w:szCs w:val="24"/>
              </w:rPr>
            </w:pPr>
          </w:p>
          <w:p>
            <w:pPr>
              <w:tabs>
                <w:tab w:val="left" w:pos="2640"/>
              </w:tabs>
              <w:adjustRightInd w:val="0"/>
              <w:snapToGrid w:val="0"/>
              <w:spacing w:line="360" w:lineRule="auto"/>
              <w:rPr>
                <w:rFonts w:ascii="Times New Roman" w:hAnsi="Times New Roman" w:cs="Times New Roman"/>
                <w:color w:val="auto"/>
                <w:sz w:val="24"/>
                <w:szCs w:val="24"/>
              </w:rPr>
            </w:pPr>
          </w:p>
          <w:p>
            <w:pPr>
              <w:tabs>
                <w:tab w:val="left" w:pos="2640"/>
              </w:tabs>
              <w:adjustRightInd w:val="0"/>
              <w:snapToGrid w:val="0"/>
              <w:spacing w:line="360" w:lineRule="auto"/>
              <w:rPr>
                <w:rFonts w:ascii="Times New Roman" w:hAnsi="Times New Roman" w:cs="Times New Roman"/>
                <w:color w:val="auto"/>
                <w:sz w:val="24"/>
                <w:szCs w:val="24"/>
              </w:rPr>
            </w:pPr>
          </w:p>
          <w:p>
            <w:pPr>
              <w:tabs>
                <w:tab w:val="left" w:pos="2640"/>
              </w:tabs>
              <w:adjustRightInd w:val="0"/>
              <w:snapToGrid w:val="0"/>
              <w:spacing w:line="360" w:lineRule="auto"/>
              <w:rPr>
                <w:rFonts w:ascii="Times New Roman" w:hAnsi="Times New Roman" w:cs="Times New Roman"/>
                <w:color w:val="auto"/>
                <w:sz w:val="24"/>
                <w:szCs w:val="24"/>
              </w:rPr>
            </w:pPr>
          </w:p>
          <w:p>
            <w:pPr>
              <w:tabs>
                <w:tab w:val="left" w:pos="2640"/>
              </w:tabs>
              <w:adjustRightInd w:val="0"/>
              <w:snapToGrid w:val="0"/>
              <w:spacing w:line="360" w:lineRule="auto"/>
              <w:rPr>
                <w:rFonts w:ascii="Times New Roman" w:hAnsi="Times New Roman" w:cs="Times New Roman"/>
                <w:color w:val="auto"/>
                <w:sz w:val="24"/>
                <w:szCs w:val="24"/>
              </w:rPr>
            </w:pPr>
          </w:p>
          <w:p>
            <w:pPr>
              <w:tabs>
                <w:tab w:val="left" w:pos="2640"/>
              </w:tabs>
              <w:adjustRightInd w:val="0"/>
              <w:snapToGrid w:val="0"/>
              <w:spacing w:line="360" w:lineRule="auto"/>
              <w:rPr>
                <w:rFonts w:ascii="Times New Roman" w:hAnsi="Times New Roman" w:cs="Times New Roman"/>
                <w:color w:val="auto"/>
                <w:sz w:val="24"/>
                <w:szCs w:val="24"/>
              </w:rPr>
            </w:pPr>
          </w:p>
          <w:p>
            <w:pPr>
              <w:tabs>
                <w:tab w:val="left" w:pos="2640"/>
              </w:tabs>
              <w:adjustRightInd w:val="0"/>
              <w:snapToGrid w:val="0"/>
              <w:spacing w:line="360" w:lineRule="auto"/>
              <w:ind w:firstLine="6480" w:firstLineChars="2700"/>
              <w:rPr>
                <w:rFonts w:ascii="Times New Roman" w:hAnsi="Times New Roman" w:cs="Times New Roman"/>
                <w:color w:val="auto"/>
                <w:sz w:val="24"/>
                <w:szCs w:val="24"/>
              </w:rPr>
            </w:pPr>
          </w:p>
          <w:p>
            <w:pPr>
              <w:tabs>
                <w:tab w:val="left" w:pos="2640"/>
              </w:tabs>
              <w:adjustRightInd w:val="0"/>
              <w:snapToGrid w:val="0"/>
              <w:spacing w:line="360" w:lineRule="auto"/>
              <w:ind w:firstLine="6480" w:firstLineChars="2700"/>
              <w:rPr>
                <w:rFonts w:ascii="Times New Roman" w:hAnsi="Times New Roman" w:cs="Times New Roman"/>
                <w:color w:val="auto"/>
                <w:sz w:val="24"/>
                <w:szCs w:val="24"/>
              </w:rPr>
            </w:pPr>
          </w:p>
          <w:p>
            <w:pPr>
              <w:tabs>
                <w:tab w:val="left" w:pos="2640"/>
              </w:tabs>
              <w:adjustRightInd w:val="0"/>
              <w:snapToGrid w:val="0"/>
              <w:spacing w:line="480" w:lineRule="auto"/>
              <w:ind w:firstLine="6480" w:firstLineChars="2700"/>
              <w:rPr>
                <w:rFonts w:ascii="Times New Roman" w:hAnsi="Times New Roman" w:cs="Times New Roman"/>
                <w:color w:val="auto"/>
                <w:sz w:val="24"/>
                <w:szCs w:val="24"/>
              </w:rPr>
            </w:pPr>
            <w:r>
              <w:rPr>
                <w:rFonts w:hint="eastAsia" w:ascii="Times New Roman" w:hAnsi="Times New Roman" w:cs="Times New Roman"/>
                <w:color w:val="auto"/>
                <w:sz w:val="24"/>
                <w:szCs w:val="24"/>
              </w:rPr>
              <w:t>公  章</w:t>
            </w:r>
          </w:p>
          <w:p>
            <w:pPr>
              <w:tabs>
                <w:tab w:val="left" w:pos="2640"/>
              </w:tabs>
              <w:adjustRightInd w:val="0"/>
              <w:snapToGrid w:val="0"/>
              <w:spacing w:line="480" w:lineRule="auto"/>
              <w:rPr>
                <w:rFonts w:ascii="Times New Roman" w:hAnsi="Times New Roman" w:cs="Times New Roman"/>
                <w:color w:val="auto"/>
                <w:sz w:val="24"/>
                <w:szCs w:val="24"/>
              </w:rPr>
            </w:pPr>
            <w:r>
              <w:rPr>
                <w:rFonts w:hint="eastAsia" w:ascii="Times New Roman" w:hAnsi="Times New Roman" w:cs="Times New Roman"/>
                <w:color w:val="auto"/>
                <w:sz w:val="24"/>
                <w:szCs w:val="24"/>
              </w:rPr>
              <w:t>经办人：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318" w:hRule="atLeast"/>
          <w:jc w:val="center"/>
        </w:trPr>
        <w:tc>
          <w:tcPr>
            <w:tcW w:w="8980" w:type="dxa"/>
            <w:tcBorders>
              <w:top w:val="single" w:color="auto" w:sz="4" w:space="0"/>
              <w:bottom w:val="single" w:color="auto" w:sz="4" w:space="0"/>
            </w:tcBorders>
          </w:tcPr>
          <w:p>
            <w:pPr>
              <w:tabs>
                <w:tab w:val="left" w:pos="2640"/>
              </w:tabs>
              <w:adjustRightInd w:val="0"/>
              <w:snapToGrid w:val="0"/>
              <w:spacing w:line="360" w:lineRule="auto"/>
              <w:rPr>
                <w:rFonts w:ascii="Times New Roman" w:hAnsi="Times New Roman" w:cs="Times New Roman"/>
                <w:color w:val="auto"/>
                <w:sz w:val="24"/>
                <w:szCs w:val="24"/>
              </w:rPr>
            </w:pPr>
            <w:r>
              <w:rPr>
                <w:rFonts w:hint="eastAsia" w:ascii="Times New Roman" w:hAnsi="Times New Roman" w:cs="Times New Roman"/>
                <w:color w:val="auto"/>
                <w:sz w:val="24"/>
                <w:szCs w:val="24"/>
              </w:rPr>
              <w:t>下一级环境保护行政主管部门审查意见：</w:t>
            </w:r>
          </w:p>
          <w:p>
            <w:pPr>
              <w:tabs>
                <w:tab w:val="left" w:pos="2640"/>
              </w:tabs>
              <w:adjustRightInd w:val="0"/>
              <w:snapToGrid w:val="0"/>
              <w:spacing w:line="360" w:lineRule="auto"/>
              <w:rPr>
                <w:rFonts w:ascii="Times New Roman" w:hAnsi="Times New Roman" w:cs="Times New Roman"/>
                <w:color w:val="auto"/>
                <w:sz w:val="24"/>
                <w:szCs w:val="24"/>
              </w:rPr>
            </w:pPr>
          </w:p>
          <w:p>
            <w:pPr>
              <w:tabs>
                <w:tab w:val="left" w:pos="2640"/>
              </w:tabs>
              <w:adjustRightInd w:val="0"/>
              <w:snapToGrid w:val="0"/>
              <w:spacing w:line="360" w:lineRule="auto"/>
              <w:rPr>
                <w:rFonts w:ascii="Times New Roman" w:hAnsi="Times New Roman" w:cs="Times New Roman"/>
                <w:color w:val="auto"/>
                <w:sz w:val="24"/>
                <w:szCs w:val="24"/>
              </w:rPr>
            </w:pPr>
          </w:p>
          <w:p>
            <w:pPr>
              <w:tabs>
                <w:tab w:val="left" w:pos="2640"/>
              </w:tabs>
              <w:adjustRightInd w:val="0"/>
              <w:snapToGrid w:val="0"/>
              <w:spacing w:line="360" w:lineRule="auto"/>
              <w:rPr>
                <w:rFonts w:ascii="Times New Roman" w:hAnsi="Times New Roman" w:cs="Times New Roman"/>
                <w:color w:val="auto"/>
                <w:sz w:val="24"/>
                <w:szCs w:val="24"/>
              </w:rPr>
            </w:pPr>
          </w:p>
          <w:p>
            <w:pPr>
              <w:tabs>
                <w:tab w:val="left" w:pos="2640"/>
              </w:tabs>
              <w:adjustRightInd w:val="0"/>
              <w:snapToGrid w:val="0"/>
              <w:spacing w:line="360" w:lineRule="auto"/>
              <w:rPr>
                <w:rFonts w:ascii="Times New Roman" w:hAnsi="Times New Roman" w:cs="Times New Roman"/>
                <w:color w:val="auto"/>
                <w:sz w:val="24"/>
                <w:szCs w:val="24"/>
              </w:rPr>
            </w:pPr>
          </w:p>
          <w:p>
            <w:pPr>
              <w:tabs>
                <w:tab w:val="left" w:pos="2640"/>
              </w:tabs>
              <w:adjustRightInd w:val="0"/>
              <w:snapToGrid w:val="0"/>
              <w:spacing w:line="360" w:lineRule="auto"/>
              <w:rPr>
                <w:rFonts w:ascii="Times New Roman" w:hAnsi="Times New Roman" w:cs="Times New Roman"/>
                <w:color w:val="auto"/>
                <w:sz w:val="24"/>
                <w:szCs w:val="24"/>
              </w:rPr>
            </w:pPr>
          </w:p>
          <w:p>
            <w:pPr>
              <w:tabs>
                <w:tab w:val="left" w:pos="2640"/>
              </w:tabs>
              <w:adjustRightInd w:val="0"/>
              <w:snapToGrid w:val="0"/>
              <w:spacing w:line="360" w:lineRule="auto"/>
              <w:rPr>
                <w:rFonts w:ascii="Times New Roman" w:hAnsi="Times New Roman" w:cs="Times New Roman"/>
                <w:color w:val="auto"/>
                <w:sz w:val="24"/>
                <w:szCs w:val="24"/>
              </w:rPr>
            </w:pPr>
          </w:p>
          <w:p>
            <w:pPr>
              <w:tabs>
                <w:tab w:val="left" w:pos="2640"/>
              </w:tabs>
              <w:adjustRightInd w:val="0"/>
              <w:snapToGrid w:val="0"/>
              <w:spacing w:line="360" w:lineRule="auto"/>
              <w:rPr>
                <w:rFonts w:ascii="Times New Roman" w:hAnsi="Times New Roman" w:cs="Times New Roman"/>
                <w:color w:val="auto"/>
                <w:sz w:val="24"/>
                <w:szCs w:val="24"/>
              </w:rPr>
            </w:pPr>
          </w:p>
          <w:p>
            <w:pPr>
              <w:tabs>
                <w:tab w:val="left" w:pos="2640"/>
              </w:tabs>
              <w:adjustRightInd w:val="0"/>
              <w:snapToGrid w:val="0"/>
              <w:spacing w:line="360" w:lineRule="auto"/>
              <w:rPr>
                <w:rFonts w:ascii="Times New Roman" w:hAnsi="Times New Roman" w:cs="Times New Roman"/>
                <w:color w:val="auto"/>
                <w:sz w:val="24"/>
                <w:szCs w:val="24"/>
              </w:rPr>
            </w:pPr>
          </w:p>
          <w:p>
            <w:pPr>
              <w:tabs>
                <w:tab w:val="left" w:pos="2640"/>
              </w:tabs>
              <w:adjustRightInd w:val="0"/>
              <w:snapToGrid w:val="0"/>
              <w:spacing w:line="360" w:lineRule="auto"/>
              <w:rPr>
                <w:rFonts w:ascii="Times New Roman" w:hAnsi="Times New Roman" w:cs="Times New Roman"/>
                <w:color w:val="auto"/>
                <w:sz w:val="24"/>
                <w:szCs w:val="24"/>
              </w:rPr>
            </w:pPr>
          </w:p>
          <w:p>
            <w:pPr>
              <w:tabs>
                <w:tab w:val="left" w:pos="2640"/>
              </w:tabs>
              <w:adjustRightInd w:val="0"/>
              <w:snapToGrid w:val="0"/>
              <w:spacing w:line="360" w:lineRule="auto"/>
              <w:ind w:firstLine="6480" w:firstLineChars="2700"/>
              <w:rPr>
                <w:rFonts w:ascii="Times New Roman" w:hAnsi="Times New Roman" w:cs="Times New Roman"/>
                <w:color w:val="auto"/>
                <w:sz w:val="24"/>
                <w:szCs w:val="24"/>
              </w:rPr>
            </w:pPr>
          </w:p>
          <w:p>
            <w:pPr>
              <w:tabs>
                <w:tab w:val="left" w:pos="2640"/>
              </w:tabs>
              <w:adjustRightInd w:val="0"/>
              <w:snapToGrid w:val="0"/>
              <w:spacing w:line="360" w:lineRule="auto"/>
              <w:ind w:firstLine="6480" w:firstLineChars="2700"/>
              <w:rPr>
                <w:rFonts w:ascii="Times New Roman" w:hAnsi="Times New Roman" w:cs="Times New Roman"/>
                <w:color w:val="auto"/>
                <w:sz w:val="24"/>
                <w:szCs w:val="24"/>
              </w:rPr>
            </w:pPr>
          </w:p>
          <w:p>
            <w:pPr>
              <w:tabs>
                <w:tab w:val="left" w:pos="2640"/>
              </w:tabs>
              <w:adjustRightInd w:val="0"/>
              <w:snapToGrid w:val="0"/>
              <w:spacing w:line="480" w:lineRule="auto"/>
              <w:ind w:firstLine="6480" w:firstLineChars="2700"/>
              <w:rPr>
                <w:rFonts w:ascii="Times New Roman" w:hAnsi="Times New Roman" w:cs="Times New Roman"/>
                <w:color w:val="auto"/>
                <w:sz w:val="24"/>
                <w:szCs w:val="24"/>
              </w:rPr>
            </w:pPr>
            <w:r>
              <w:rPr>
                <w:rFonts w:hint="eastAsia" w:ascii="Times New Roman" w:hAnsi="Times New Roman" w:cs="Times New Roman"/>
                <w:color w:val="auto"/>
                <w:sz w:val="24"/>
                <w:szCs w:val="24"/>
              </w:rPr>
              <w:t>公  章</w:t>
            </w:r>
          </w:p>
          <w:p>
            <w:pPr>
              <w:tabs>
                <w:tab w:val="left" w:pos="2640"/>
              </w:tabs>
              <w:adjustRightInd w:val="0"/>
              <w:snapToGrid w:val="0"/>
              <w:spacing w:line="360" w:lineRule="auto"/>
              <w:rPr>
                <w:rFonts w:ascii="Times New Roman" w:hAnsi="Times New Roman" w:cs="Times New Roman"/>
                <w:color w:val="auto"/>
                <w:sz w:val="24"/>
                <w:szCs w:val="24"/>
              </w:rPr>
            </w:pPr>
            <w:r>
              <w:rPr>
                <w:rFonts w:hint="eastAsia" w:ascii="Times New Roman" w:hAnsi="Times New Roman" w:cs="Times New Roman"/>
                <w:color w:val="auto"/>
                <w:sz w:val="24"/>
                <w:szCs w:val="24"/>
              </w:rPr>
              <w:t>经办人：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318" w:hRule="atLeast"/>
          <w:jc w:val="center"/>
        </w:trPr>
        <w:tc>
          <w:tcPr>
            <w:tcW w:w="8980" w:type="dxa"/>
            <w:tcBorders>
              <w:top w:val="single" w:color="auto" w:sz="4" w:space="0"/>
              <w:bottom w:val="single" w:color="auto" w:sz="4" w:space="0"/>
            </w:tcBorders>
          </w:tcPr>
          <w:p>
            <w:pPr>
              <w:rPr>
                <w:color w:val="auto"/>
                <w:sz w:val="24"/>
              </w:rPr>
            </w:pPr>
          </w:p>
          <w:p>
            <w:pPr>
              <w:rPr>
                <w:color w:val="auto"/>
                <w:sz w:val="24"/>
              </w:rPr>
            </w:pPr>
            <w:r>
              <w:rPr>
                <w:color w:val="auto"/>
                <w:sz w:val="24"/>
              </w:rPr>
              <w:t>审批意见：</w:t>
            </w: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p>
          <w:p>
            <w:pPr>
              <w:rPr>
                <w:color w:val="auto"/>
                <w:sz w:val="24"/>
              </w:rPr>
            </w:pPr>
            <w:r>
              <w:rPr>
                <w:color w:val="auto"/>
                <w:sz w:val="24"/>
              </w:rPr>
              <w:t xml:space="preserve">                                       </w:t>
            </w:r>
            <w:r>
              <w:rPr>
                <w:rFonts w:hint="eastAsia"/>
                <w:color w:val="auto"/>
                <w:sz w:val="24"/>
              </w:rPr>
              <w:t xml:space="preserve">  </w:t>
            </w:r>
            <w:r>
              <w:rPr>
                <w:color w:val="auto"/>
                <w:sz w:val="24"/>
              </w:rPr>
              <w:t xml:space="preserve">            公  章</w:t>
            </w:r>
          </w:p>
          <w:p>
            <w:pPr>
              <w:rPr>
                <w:color w:val="auto"/>
                <w:sz w:val="24"/>
              </w:rPr>
            </w:pPr>
          </w:p>
          <w:p>
            <w:pPr>
              <w:rPr>
                <w:color w:val="auto"/>
                <w:sz w:val="24"/>
              </w:rPr>
            </w:pPr>
          </w:p>
          <w:p>
            <w:pPr>
              <w:rPr>
                <w:color w:val="auto"/>
                <w:sz w:val="24"/>
              </w:rPr>
            </w:pPr>
            <w:r>
              <w:rPr>
                <w:color w:val="auto"/>
                <w:sz w:val="24"/>
              </w:rPr>
              <w:t>经办</w:t>
            </w:r>
            <w:r>
              <w:rPr>
                <w:rFonts w:hint="eastAsia"/>
                <w:color w:val="auto"/>
                <w:sz w:val="24"/>
              </w:rPr>
              <w:t>人</w:t>
            </w:r>
            <w:r>
              <w:rPr>
                <w:color w:val="auto"/>
                <w:sz w:val="24"/>
              </w:rPr>
              <w:t xml:space="preserve">：   </w:t>
            </w:r>
            <w:r>
              <w:rPr>
                <w:rFonts w:hint="eastAsia"/>
                <w:color w:val="auto"/>
                <w:sz w:val="24"/>
              </w:rPr>
              <w:t xml:space="preserve"> </w:t>
            </w:r>
            <w:r>
              <w:rPr>
                <w:color w:val="auto"/>
                <w:sz w:val="24"/>
              </w:rPr>
              <w:t xml:space="preserve">          签发：                        年   月   日</w:t>
            </w:r>
          </w:p>
          <w:p>
            <w:pPr>
              <w:rPr>
                <w:color w:val="auto"/>
                <w:sz w:val="24"/>
              </w:rPr>
            </w:pPr>
          </w:p>
          <w:p>
            <w:pPr>
              <w:rPr>
                <w:color w:val="auto"/>
                <w:sz w:val="24"/>
              </w:rPr>
            </w:pPr>
          </w:p>
          <w:p>
            <w:pPr>
              <w:tabs>
                <w:tab w:val="left" w:pos="2640"/>
              </w:tabs>
              <w:adjustRightInd w:val="0"/>
              <w:snapToGrid w:val="0"/>
              <w:spacing w:line="360" w:lineRule="auto"/>
              <w:rPr>
                <w:rFonts w:ascii="Times New Roman" w:hAnsi="Times New Roman"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3403" w:hRule="atLeast"/>
          <w:jc w:val="center"/>
        </w:trPr>
        <w:tc>
          <w:tcPr>
            <w:tcW w:w="8980" w:type="dxa"/>
            <w:tcBorders>
              <w:top w:val="single" w:color="auto" w:sz="4" w:space="0"/>
              <w:bottom w:val="single" w:color="auto" w:sz="4" w:space="0"/>
            </w:tcBorders>
          </w:tcPr>
          <w:p>
            <w:pPr>
              <w:adjustRightInd w:val="0"/>
              <w:snapToGrid w:val="0"/>
              <w:spacing w:line="324" w:lineRule="auto"/>
              <w:jc w:val="center"/>
              <w:rPr>
                <w:rFonts w:ascii="Times New Roman" w:hAnsi="Times New Roman" w:cs="Times New Roman"/>
                <w:color w:val="auto"/>
                <w:sz w:val="22"/>
              </w:rPr>
            </w:pPr>
            <w:r>
              <w:rPr>
                <w:rFonts w:ascii="Times New Roman" w:hAnsi="Times New Roman" w:cs="Times New Roman"/>
                <w:b/>
                <w:color w:val="auto"/>
                <w:sz w:val="28"/>
              </w:rPr>
              <w:t>注       释</w:t>
            </w:r>
          </w:p>
          <w:p>
            <w:pPr>
              <w:adjustRightInd w:val="0"/>
              <w:snapToGrid w:val="0"/>
              <w:spacing w:line="324"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一、</w:t>
            </w:r>
            <w:r>
              <w:rPr>
                <w:rFonts w:ascii="Times New Roman" w:hAnsi="Times New Roman" w:cs="Times New Roman"/>
                <w:color w:val="auto"/>
                <w:sz w:val="24"/>
                <w:szCs w:val="24"/>
              </w:rPr>
              <w:t>本报告表应附以下附件、附图：</w:t>
            </w:r>
          </w:p>
          <w:p>
            <w:pPr>
              <w:adjustRightInd w:val="0"/>
              <w:snapToGrid w:val="0"/>
              <w:spacing w:line="324"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附件1  环评委托书</w:t>
            </w:r>
          </w:p>
          <w:p>
            <w:pPr>
              <w:adjustRightInd w:val="0"/>
              <w:snapToGrid w:val="0"/>
              <w:spacing w:line="324"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附件2  环评合同</w:t>
            </w:r>
          </w:p>
          <w:p>
            <w:pPr>
              <w:adjustRightInd w:val="0"/>
              <w:snapToGrid w:val="0"/>
              <w:spacing w:line="324"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 xml:space="preserve">附件3  </w:t>
            </w:r>
            <w:r>
              <w:rPr>
                <w:rFonts w:hint="eastAsia" w:ascii="Times New Roman" w:hAnsi="Times New Roman" w:cs="Times New Roman"/>
                <w:color w:val="auto"/>
                <w:sz w:val="24"/>
                <w:szCs w:val="24"/>
              </w:rPr>
              <w:t>登记信息表</w:t>
            </w:r>
          </w:p>
          <w:p>
            <w:pPr>
              <w:adjustRightInd w:val="0"/>
              <w:snapToGrid w:val="0"/>
              <w:spacing w:line="324"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附件4  企业营业执照</w:t>
            </w:r>
          </w:p>
          <w:p>
            <w:pPr>
              <w:adjustRightInd w:val="0"/>
              <w:snapToGrid w:val="0"/>
              <w:spacing w:line="324"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附件5  2016年宜兴市丁蜀镇环境质量监测报告</w:t>
            </w:r>
          </w:p>
          <w:p>
            <w:pPr>
              <w:adjustRightInd w:val="0"/>
              <w:snapToGrid w:val="0"/>
              <w:spacing w:line="324"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附件6  公示情况说明</w:t>
            </w:r>
          </w:p>
          <w:p>
            <w:pPr>
              <w:adjustRightInd w:val="0"/>
              <w:snapToGrid w:val="0"/>
              <w:spacing w:line="324"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附件7  建设进度的说明</w:t>
            </w:r>
          </w:p>
          <w:p>
            <w:pPr>
              <w:adjustRightInd w:val="0"/>
              <w:snapToGrid w:val="0"/>
              <w:spacing w:line="324"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附件8  企业承诺书</w:t>
            </w:r>
          </w:p>
          <w:p>
            <w:pPr>
              <w:adjustRightInd w:val="0"/>
              <w:snapToGrid w:val="0"/>
              <w:spacing w:line="324"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附件9  企业确认单</w:t>
            </w:r>
          </w:p>
          <w:p>
            <w:pPr>
              <w:adjustRightInd w:val="0"/>
              <w:snapToGrid w:val="0"/>
              <w:spacing w:line="324"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附件10  建设项目主要环境影响及防治或减轻的对策和措施情况表</w:t>
            </w:r>
          </w:p>
          <w:p>
            <w:pPr>
              <w:adjustRightInd w:val="0"/>
              <w:snapToGrid w:val="0"/>
              <w:spacing w:line="324"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附件11  环评单位承诺书</w:t>
            </w:r>
          </w:p>
          <w:p>
            <w:pPr>
              <w:adjustRightInd w:val="0"/>
              <w:snapToGrid w:val="0"/>
              <w:spacing w:line="324"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附件12  审批申请</w:t>
            </w:r>
          </w:p>
          <w:p>
            <w:pPr>
              <w:adjustRightInd w:val="0"/>
              <w:snapToGrid w:val="0"/>
              <w:spacing w:line="324"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附件13  全本公示截图</w:t>
            </w:r>
          </w:p>
          <w:p>
            <w:pPr>
              <w:adjustRightInd w:val="0"/>
              <w:snapToGrid w:val="0"/>
              <w:spacing w:line="324"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 xml:space="preserve">附件14  </w:t>
            </w:r>
            <w:r>
              <w:rPr>
                <w:rFonts w:hint="eastAsia" w:ascii="Times New Roman" w:hAnsi="Times New Roman" w:cs="Times New Roman"/>
                <w:color w:val="auto"/>
                <w:sz w:val="24"/>
                <w:szCs w:val="24"/>
              </w:rPr>
              <w:t>基础信息表</w:t>
            </w:r>
          </w:p>
          <w:p>
            <w:pPr>
              <w:adjustRightInd w:val="0"/>
              <w:snapToGrid w:val="0"/>
              <w:spacing w:line="324" w:lineRule="auto"/>
              <w:ind w:firstLine="480" w:firstLineChars="200"/>
              <w:rPr>
                <w:rFonts w:ascii="Times New Roman" w:hAnsi="Times New Roman" w:cs="Times New Roman"/>
                <w:color w:val="auto"/>
                <w:sz w:val="24"/>
                <w:szCs w:val="24"/>
              </w:rPr>
            </w:pPr>
          </w:p>
          <w:p>
            <w:pPr>
              <w:adjustRightInd w:val="0"/>
              <w:snapToGrid w:val="0"/>
              <w:spacing w:line="324"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附图1  建设项目地理位置图</w:t>
            </w:r>
          </w:p>
          <w:p>
            <w:pPr>
              <w:adjustRightInd w:val="0"/>
              <w:snapToGrid w:val="0"/>
              <w:spacing w:line="324"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附图</w:t>
            </w:r>
            <w:r>
              <w:rPr>
                <w:rFonts w:hint="eastAsia" w:ascii="Times New Roman" w:hAnsi="Times New Roman" w:cs="Times New Roman"/>
                <w:color w:val="auto"/>
                <w:sz w:val="24"/>
                <w:szCs w:val="24"/>
              </w:rPr>
              <w:t>2</w:t>
            </w:r>
            <w:r>
              <w:rPr>
                <w:rFonts w:ascii="Times New Roman" w:hAnsi="Times New Roman" w:cs="Times New Roman"/>
                <w:color w:val="auto"/>
                <w:sz w:val="24"/>
                <w:szCs w:val="24"/>
              </w:rPr>
              <w:t xml:space="preserve">  周围环境概况图</w:t>
            </w:r>
          </w:p>
          <w:p>
            <w:pPr>
              <w:adjustRightInd w:val="0"/>
              <w:snapToGrid w:val="0"/>
              <w:spacing w:line="324"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附图</w:t>
            </w:r>
            <w:r>
              <w:rPr>
                <w:rFonts w:hint="eastAsia" w:ascii="Times New Roman" w:hAnsi="Times New Roman" w:cs="Times New Roman"/>
                <w:color w:val="auto"/>
                <w:sz w:val="24"/>
                <w:szCs w:val="24"/>
              </w:rPr>
              <w:t>3</w:t>
            </w:r>
            <w:r>
              <w:rPr>
                <w:rFonts w:ascii="Times New Roman" w:hAnsi="Times New Roman" w:cs="Times New Roman"/>
                <w:color w:val="auto"/>
                <w:sz w:val="24"/>
                <w:szCs w:val="24"/>
              </w:rPr>
              <w:t xml:space="preserve">  宜兴市生态红线区域保护规划图</w:t>
            </w:r>
          </w:p>
          <w:p>
            <w:pPr>
              <w:adjustRightInd w:val="0"/>
              <w:snapToGrid w:val="0"/>
              <w:spacing w:line="324" w:lineRule="auto"/>
              <w:ind w:firstLine="480" w:firstLineChars="200"/>
              <w:rPr>
                <w:rFonts w:ascii="Times New Roman" w:hAnsi="Times New Roman" w:cs="Times New Roman"/>
                <w:color w:val="auto"/>
                <w:sz w:val="24"/>
                <w:szCs w:val="24"/>
              </w:rPr>
            </w:pPr>
          </w:p>
          <w:p>
            <w:pPr>
              <w:adjustRightInd w:val="0"/>
              <w:snapToGrid w:val="0"/>
              <w:spacing w:line="324"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二、</w:t>
            </w:r>
            <w:r>
              <w:rPr>
                <w:rFonts w:ascii="Times New Roman" w:hAnsi="Times New Roman" w:cs="Times New Roman"/>
                <w:bCs/>
                <w:color w:val="auto"/>
                <w:sz w:val="24"/>
                <w:szCs w:val="24"/>
              </w:rPr>
              <w:t>如果本报告表不能说明项目产生的污染及对环境造成的影响，应进行专项评价。根据建设项目的特点和当地环境特征，应选下列1-2项进行专项评价。</w:t>
            </w:r>
          </w:p>
          <w:p>
            <w:pPr>
              <w:numPr>
                <w:ilvl w:val="0"/>
                <w:numId w:val="2"/>
              </w:numPr>
              <w:adjustRightInd w:val="0"/>
              <w:snapToGrid w:val="0"/>
              <w:spacing w:line="324" w:lineRule="auto"/>
              <w:ind w:left="0"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大气环境影响专项评价</w:t>
            </w:r>
          </w:p>
          <w:p>
            <w:pPr>
              <w:numPr>
                <w:ilvl w:val="0"/>
                <w:numId w:val="2"/>
              </w:numPr>
              <w:adjustRightInd w:val="0"/>
              <w:snapToGrid w:val="0"/>
              <w:spacing w:line="324" w:lineRule="auto"/>
              <w:ind w:left="0"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水环境影响专项评价（包括地表水和地下水）</w:t>
            </w:r>
          </w:p>
          <w:p>
            <w:pPr>
              <w:numPr>
                <w:ilvl w:val="0"/>
                <w:numId w:val="2"/>
              </w:numPr>
              <w:adjustRightInd w:val="0"/>
              <w:snapToGrid w:val="0"/>
              <w:spacing w:line="324" w:lineRule="auto"/>
              <w:ind w:left="0"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生态环境影响专项评价</w:t>
            </w:r>
          </w:p>
          <w:p>
            <w:pPr>
              <w:numPr>
                <w:ilvl w:val="0"/>
                <w:numId w:val="2"/>
              </w:numPr>
              <w:adjustRightInd w:val="0"/>
              <w:snapToGrid w:val="0"/>
              <w:spacing w:line="324" w:lineRule="auto"/>
              <w:ind w:left="0"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声影响专项评价</w:t>
            </w:r>
          </w:p>
          <w:p>
            <w:pPr>
              <w:numPr>
                <w:ilvl w:val="0"/>
                <w:numId w:val="2"/>
              </w:numPr>
              <w:adjustRightInd w:val="0"/>
              <w:snapToGrid w:val="0"/>
              <w:spacing w:line="324" w:lineRule="auto"/>
              <w:ind w:left="0"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土壤影响专项评价</w:t>
            </w:r>
          </w:p>
          <w:p>
            <w:pPr>
              <w:numPr>
                <w:ilvl w:val="0"/>
                <w:numId w:val="2"/>
              </w:numPr>
              <w:adjustRightInd w:val="0"/>
              <w:snapToGrid w:val="0"/>
              <w:spacing w:line="324" w:lineRule="auto"/>
              <w:ind w:left="0"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固体废弃物影响专项评价</w:t>
            </w:r>
          </w:p>
          <w:p>
            <w:pPr>
              <w:numPr>
                <w:ilvl w:val="0"/>
                <w:numId w:val="2"/>
              </w:numPr>
              <w:adjustRightInd w:val="0"/>
              <w:snapToGrid w:val="0"/>
              <w:spacing w:line="324" w:lineRule="auto"/>
              <w:ind w:left="0"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辐射环境影响专项评价（包括电离辐射和电磁辐射）</w:t>
            </w:r>
          </w:p>
          <w:p>
            <w:pPr>
              <w:tabs>
                <w:tab w:val="left" w:pos="2640"/>
              </w:tabs>
              <w:adjustRightInd w:val="0"/>
              <w:snapToGrid w:val="0"/>
              <w:spacing w:line="324"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以上专项评价未包括的可另列专项，专项评价按照《环境影响评价技术导则》中的要求进行。</w:t>
            </w:r>
          </w:p>
        </w:tc>
      </w:tr>
    </w:tbl>
    <w:p>
      <w:pPr>
        <w:rPr>
          <w:rFonts w:ascii="Times New Roman" w:hAnsi="Times New Roman" w:cs="Times New Roman"/>
          <w:color w:val="auto"/>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ingLiU_HKSCS">
    <w:panose1 w:val="02020500000000000000"/>
    <w:charset w:val="88"/>
    <w:family w:val="roman"/>
    <w:pitch w:val="default"/>
    <w:sig w:usb0="A00002FF" w:usb1="38CFFCFA" w:usb2="00000016" w:usb3="00000000" w:csb0="00100001" w:csb1="00000000"/>
  </w:font>
  <w:font w:name="Cambria Math">
    <w:panose1 w:val="02040503050406030204"/>
    <w:charset w:val="00"/>
    <w:family w:val="roman"/>
    <w:pitch w:val="default"/>
    <w:sig w:usb0="E00002FF" w:usb1="420024FF" w:usb2="00000000" w:usb3="00000000" w:csb0="2000019F" w:csb1="00000000"/>
  </w:font>
  <w:font w:name="Segoe UI Symbol">
    <w:panose1 w:val="020B0502040204020203"/>
    <w:charset w:val="00"/>
    <w:family w:val="swiss"/>
    <w:pitch w:val="default"/>
    <w:sig w:usb0="8000006F" w:usb1="1200FBEF" w:usb2="0004C000" w:usb3="00000000" w:csb0="00000001" w:csb1="4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00000287" w:usb1="00000000" w:usb2="00000000" w:usb3="00000000" w:csb0="2000009F" w:csb1="DFD70000"/>
  </w:font>
  <w:font w:name="Bookman Old Style">
    <w:altName w:val="Segoe Print"/>
    <w:panose1 w:val="02050604050505020204"/>
    <w:charset w:val="00"/>
    <w:family w:val="roman"/>
    <w:pitch w:val="default"/>
    <w:sig w:usb0="00000000" w:usb1="00000000" w:usb2="00000000" w:usb3="00000000" w:csb0="0000009F" w:csb1="00000000"/>
  </w:font>
  <w:font w:name="方正楷体_GBK">
    <w:altName w:val="微软雅黑"/>
    <w:panose1 w:val="03000509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ˎ̥">
    <w:altName w:val="Times New Roman"/>
    <w:panose1 w:val="00000000000000000000"/>
    <w:charset w:val="01"/>
    <w:family w:val="roman"/>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TimesNewRomanPSMT">
    <w:altName w:val="Times New Roman"/>
    <w:panose1 w:val="00000000000000000000"/>
    <w:charset w:val="80"/>
    <w:family w:val="auto"/>
    <w:pitch w:val="default"/>
    <w:sig w:usb0="00000000" w:usb1="00000000" w:usb2="00000000" w:usb3="00000000" w:csb0="00020000" w:csb1="00000000"/>
  </w:font>
  <w:font w:name="MS-UIGothic">
    <w:altName w:val="Malgun Gothic"/>
    <w:panose1 w:val="00000000000000000000"/>
    <w:charset w:val="81"/>
    <w:family w:val="auto"/>
    <w:pitch w:val="default"/>
    <w:sig w:usb0="00000000" w:usb1="00000000" w:usb2="00000000" w:usb3="00000000" w:csb0="00080000" w:csb1="00000000"/>
  </w:font>
  <w:font w:name="T3Font_2">
    <w:altName w:val="宋体"/>
    <w:panose1 w:val="00000000000000000000"/>
    <w:charset w:val="86"/>
    <w:family w:val="swiss"/>
    <w:pitch w:val="default"/>
    <w:sig w:usb0="00000000" w:usb1="00000000" w:usb2="00000000" w:usb3="00000000" w:csb0="00040000" w:csb1="00000000"/>
  </w:font>
  <w:font w:name="TimesNewRoman">
    <w:altName w:val="宋体"/>
    <w:panose1 w:val="00000000000000000000"/>
    <w:charset w:val="86"/>
    <w:family w:val="auto"/>
    <w:pitch w:val="default"/>
    <w:sig w:usb0="00000000" w:usb1="00000000" w:usb2="00000010" w:usb3="00000000" w:csb0="00040000" w:csb1="00000000"/>
  </w:font>
  <w:font w:name="T3Font_3">
    <w:altName w:val="宋体"/>
    <w:panose1 w:val="00000000000000000000"/>
    <w:charset w:val="86"/>
    <w:family w:val="swiss"/>
    <w:pitch w:val="default"/>
    <w:sig w:usb0="00000000" w:usb1="00000000" w:usb2="00000000" w:usb3="00000000" w:csb0="00040000" w:csb1="00000000"/>
  </w:font>
  <w:font w:name="TT44o00">
    <w:altName w:val="宋体"/>
    <w:panose1 w:val="00000000000000000000"/>
    <w:charset w:val="86"/>
    <w:family w:val="auto"/>
    <w:pitch w:val="default"/>
    <w:sig w:usb0="00000000" w:usb1="00000000" w:usb2="00000000" w:usb3="00000000" w:csb0="00040000" w:csb1="00000000"/>
  </w:font>
  <w:font w:name="TT44o01">
    <w:altName w:val="宋体"/>
    <w:panose1 w:val="00000000000000000000"/>
    <w:charset w:val="00"/>
    <w:family w:val="auto"/>
    <w:pitch w:val="default"/>
    <w:sig w:usb0="00000000" w:usb1="00000000" w:usb2="00000000" w:usb3="00000000" w:csb0="00000000" w:csb1="00000000"/>
  </w:font>
  <w:font w:name="TT133o00">
    <w:altName w:val="宋体"/>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TimesNewRomanPS-BoldMT">
    <w:altName w:val="宋体"/>
    <w:panose1 w:val="00000000000000000000"/>
    <w:charset w:val="86"/>
    <w:family w:val="auto"/>
    <w:pitch w:val="default"/>
    <w:sig w:usb0="00000000" w:usb1="00000000" w:usb2="00000000" w:usb3="00000000" w:csb0="00040000" w:csb1="00000000"/>
  </w:font>
  <w:font w:name="SimSun,Bold">
    <w:altName w:val="宋体"/>
    <w:panose1 w:val="00000000000000000000"/>
    <w:charset w:val="86"/>
    <w:family w:val="auto"/>
    <w:pitch w:val="default"/>
    <w:sig w:usb0="00000000" w:usb1="00000000" w:usb2="00000000" w:usb3="00000000" w:csb0="00040000" w:csb1="00000000"/>
  </w:font>
  <w:font w:name="TT104o00">
    <w:altName w:val="宋体"/>
    <w:panose1 w:val="00000000000000000000"/>
    <w:charset w:val="86"/>
    <w:family w:val="auto"/>
    <w:pitch w:val="default"/>
    <w:sig w:usb0="00000000" w:usb1="00000000" w:usb2="00000000" w:usb3="00000000" w:csb0="00040000" w:csb1="00000000"/>
  </w:font>
  <w:font w:name="Malgun Gothic">
    <w:panose1 w:val="020B0503020000020004"/>
    <w:charset w:val="81"/>
    <w:family w:val="auto"/>
    <w:pitch w:val="default"/>
    <w:sig w:usb0="900002AF" w:usb1="01D77CFB" w:usb2="00000012" w:usb3="00000000" w:csb0="00080001" w:csb1="00000000"/>
  </w:font>
  <w:font w:name="TimesNewRomanPS-BoldMT">
    <w:altName w:val="宋体"/>
    <w:panose1 w:val="00000000000000000000"/>
    <w:charset w:val="00"/>
    <w:family w:val="roman"/>
    <w:pitch w:val="default"/>
    <w:sig w:usb0="00000000" w:usb1="00000000" w:usb2="00000000" w:usb3="00000000" w:csb0="00000001" w:csb1="00000000"/>
  </w:font>
  <w:font w:name="RomanS">
    <w:panose1 w:val="02000400000000000000"/>
    <w:charset w:val="00"/>
    <w:family w:val="auto"/>
    <w:pitch w:val="default"/>
    <w:sig w:usb0="00000207" w:usb1="00000000" w:usb2="00000000" w:usb3="00000000" w:csb0="000001FF" w:csb1="00000000"/>
  </w:font>
  <w:font w:name="ËÎÌå">
    <w:altName w:val="Times New Roman"/>
    <w:panose1 w:val="000000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31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31</w:t>
                    </w:r>
                    <w:r>
                      <w:rPr>
                        <w:rFonts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56AC5"/>
    <w:multiLevelType w:val="singleLevel"/>
    <w:tmpl w:val="21156AC5"/>
    <w:lvl w:ilvl="0" w:tentative="0">
      <w:start w:val="1"/>
      <w:numFmt w:val="decimal"/>
      <w:lvlText w:val="%1．"/>
      <w:lvlJc w:val="left"/>
      <w:pPr>
        <w:tabs>
          <w:tab w:val="left" w:pos="948"/>
        </w:tabs>
        <w:ind w:left="948" w:hanging="312"/>
      </w:pPr>
      <w:rPr>
        <w:rFonts w:hint="eastAsia"/>
      </w:rPr>
    </w:lvl>
  </w:abstractNum>
  <w:abstractNum w:abstractNumId="1">
    <w:nsid w:val="59A37E87"/>
    <w:multiLevelType w:val="singleLevel"/>
    <w:tmpl w:val="59A37E8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575D0E"/>
    <w:rsid w:val="00627EA0"/>
    <w:rsid w:val="00A149BB"/>
    <w:rsid w:val="00B75027"/>
    <w:rsid w:val="00C04C0E"/>
    <w:rsid w:val="02AC5B01"/>
    <w:rsid w:val="04625D24"/>
    <w:rsid w:val="049A224A"/>
    <w:rsid w:val="07110947"/>
    <w:rsid w:val="077E35A9"/>
    <w:rsid w:val="0A793AE0"/>
    <w:rsid w:val="0AF4070F"/>
    <w:rsid w:val="0C41322A"/>
    <w:rsid w:val="0CF74119"/>
    <w:rsid w:val="0F185CED"/>
    <w:rsid w:val="10B43448"/>
    <w:rsid w:val="15396FF1"/>
    <w:rsid w:val="18716331"/>
    <w:rsid w:val="1A0F08A1"/>
    <w:rsid w:val="1CB1498D"/>
    <w:rsid w:val="1DE74B48"/>
    <w:rsid w:val="224F353D"/>
    <w:rsid w:val="27A53A66"/>
    <w:rsid w:val="2AE218CC"/>
    <w:rsid w:val="2CF026AA"/>
    <w:rsid w:val="2DC84008"/>
    <w:rsid w:val="2E7F0E9F"/>
    <w:rsid w:val="2F0D356B"/>
    <w:rsid w:val="34F41AE1"/>
    <w:rsid w:val="395249E1"/>
    <w:rsid w:val="39DD120E"/>
    <w:rsid w:val="3BC6724A"/>
    <w:rsid w:val="3E8023B1"/>
    <w:rsid w:val="3EB54CC5"/>
    <w:rsid w:val="3F775C8D"/>
    <w:rsid w:val="40C00A2A"/>
    <w:rsid w:val="47042B44"/>
    <w:rsid w:val="48577020"/>
    <w:rsid w:val="486D4AC1"/>
    <w:rsid w:val="49416F6B"/>
    <w:rsid w:val="4B410A06"/>
    <w:rsid w:val="4BDF1A5A"/>
    <w:rsid w:val="4DBF2FCB"/>
    <w:rsid w:val="50064F2C"/>
    <w:rsid w:val="52AF6550"/>
    <w:rsid w:val="5338552A"/>
    <w:rsid w:val="54851D1B"/>
    <w:rsid w:val="548E6C5A"/>
    <w:rsid w:val="54B36D12"/>
    <w:rsid w:val="54FB4242"/>
    <w:rsid w:val="56395F4F"/>
    <w:rsid w:val="5DF74237"/>
    <w:rsid w:val="67712E64"/>
    <w:rsid w:val="67E825D5"/>
    <w:rsid w:val="6DB113D9"/>
    <w:rsid w:val="703D0389"/>
    <w:rsid w:val="71823D1C"/>
    <w:rsid w:val="721E6593"/>
    <w:rsid w:val="7BDC1EEE"/>
    <w:rsid w:val="7E344528"/>
    <w:rsid w:val="7F8F3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pageBreakBefore/>
      <w:spacing w:line="360" w:lineRule="auto"/>
      <w:outlineLvl w:val="0"/>
    </w:pPr>
    <w:rPr>
      <w:rFonts w:eastAsia="黑体"/>
      <w:b/>
      <w:bCs/>
      <w:kern w:val="44"/>
      <w:sz w:val="28"/>
      <w:szCs w:val="44"/>
    </w:rPr>
  </w:style>
  <w:style w:type="paragraph" w:styleId="3">
    <w:name w:val="heading 3"/>
    <w:basedOn w:val="1"/>
    <w:next w:val="1"/>
    <w:link w:val="18"/>
    <w:unhideWhenUsed/>
    <w:qFormat/>
    <w:uiPriority w:val="0"/>
    <w:pPr>
      <w:keepNext/>
      <w:keepLines/>
      <w:spacing w:before="260" w:after="260"/>
      <w:outlineLvl w:val="2"/>
    </w:pPr>
    <w:rPr>
      <w:rFonts w:ascii="Times New Roman" w:hAnsi="Times New Roman" w:eastAsia="宋体" w:cs="Times New Roman"/>
      <w:b/>
      <w:bCs/>
      <w:sz w:val="28"/>
      <w:szCs w:val="32"/>
    </w:rPr>
  </w:style>
  <w:style w:type="character" w:default="1" w:styleId="13">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3"/>
    <w:qFormat/>
    <w:uiPriority w:val="0"/>
    <w:rPr>
      <w:b/>
      <w:bCs/>
    </w:rPr>
  </w:style>
  <w:style w:type="paragraph" w:styleId="5">
    <w:name w:val="annotation text"/>
    <w:basedOn w:val="1"/>
    <w:link w:val="22"/>
    <w:qFormat/>
    <w:uiPriority w:val="0"/>
    <w:pPr>
      <w:jc w:val="left"/>
    </w:pPr>
  </w:style>
  <w:style w:type="paragraph" w:styleId="6">
    <w:name w:val="Body Text Indent"/>
    <w:basedOn w:val="1"/>
    <w:qFormat/>
    <w:uiPriority w:val="0"/>
    <w:pPr>
      <w:snapToGrid w:val="0"/>
      <w:spacing w:before="120" w:line="360" w:lineRule="atLeast"/>
      <w:ind w:firstLine="539"/>
    </w:pPr>
    <w:rPr>
      <w:sz w:val="24"/>
    </w:rPr>
  </w:style>
  <w:style w:type="paragraph" w:styleId="7">
    <w:name w:val="Plain Text"/>
    <w:basedOn w:val="1"/>
    <w:qFormat/>
    <w:uiPriority w:val="0"/>
    <w:pPr>
      <w:adjustRightInd w:val="0"/>
      <w:spacing w:before="120" w:line="400" w:lineRule="exact"/>
      <w:textAlignment w:val="baseline"/>
    </w:pPr>
    <w:rPr>
      <w:rFonts w:ascii="宋体" w:hAnsi="Courier New"/>
      <w:spacing w:val="-2"/>
      <w:kern w:val="28"/>
      <w:szCs w:val="20"/>
    </w:rPr>
  </w:style>
  <w:style w:type="paragraph" w:styleId="8">
    <w:name w:val="Date"/>
    <w:basedOn w:val="1"/>
    <w:next w:val="1"/>
    <w:qFormat/>
    <w:uiPriority w:val="0"/>
    <w:pPr>
      <w:adjustRightInd w:val="0"/>
      <w:spacing w:beforeLines="50" w:line="312" w:lineRule="atLeast"/>
      <w:textAlignment w:val="baseline"/>
    </w:pPr>
    <w:rPr>
      <w:kern w:val="0"/>
      <w:szCs w:val="20"/>
    </w:rPr>
  </w:style>
  <w:style w:type="paragraph" w:styleId="9">
    <w:name w:val="Balloon Text"/>
    <w:basedOn w:val="1"/>
    <w:link w:val="24"/>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List"/>
    <w:basedOn w:val="1"/>
    <w:qFormat/>
    <w:uiPriority w:val="0"/>
    <w:pPr>
      <w:spacing w:line="360" w:lineRule="exact"/>
      <w:jc w:val="center"/>
    </w:pPr>
    <w:rPr>
      <w:rFonts w:ascii="仿宋_GB2312" w:eastAsia="仿宋_GB2312"/>
    </w:rPr>
  </w:style>
  <w:style w:type="character" w:styleId="14">
    <w:name w:val="page number"/>
    <w:basedOn w:val="13"/>
    <w:qFormat/>
    <w:uiPriority w:val="0"/>
  </w:style>
  <w:style w:type="character" w:styleId="15">
    <w:name w:val="annotation reference"/>
    <w:basedOn w:val="13"/>
    <w:qFormat/>
    <w:uiPriority w:val="0"/>
    <w:rPr>
      <w:sz w:val="21"/>
      <w:szCs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标题 3 Char"/>
    <w:link w:val="3"/>
    <w:qFormat/>
    <w:uiPriority w:val="0"/>
    <w:rPr>
      <w:rFonts w:ascii="Times New Roman" w:hAnsi="Times New Roman" w:eastAsia="宋体" w:cs="Times New Roman"/>
      <w:b/>
      <w:bCs/>
      <w:kern w:val="2"/>
      <w:sz w:val="28"/>
      <w:szCs w:val="32"/>
    </w:rPr>
  </w:style>
  <w:style w:type="paragraph" w:customStyle="1" w:styleId="19">
    <w:name w:val="表格"/>
    <w:basedOn w:val="1"/>
    <w:qFormat/>
    <w:uiPriority w:val="0"/>
    <w:pPr>
      <w:jc w:val="center"/>
    </w:pPr>
    <w:rPr>
      <w:sz w:val="24"/>
      <w:szCs w:val="24"/>
    </w:rPr>
  </w:style>
  <w:style w:type="paragraph" w:customStyle="1" w:styleId="20">
    <w:name w:val="样式 标题 1 + 加粗"/>
    <w:basedOn w:val="2"/>
    <w:qFormat/>
    <w:uiPriority w:val="0"/>
    <w:pPr>
      <w:spacing w:line="240" w:lineRule="auto"/>
    </w:pPr>
    <w:rPr>
      <w:rFonts w:eastAsia="宋体"/>
      <w:color w:val="000000"/>
    </w:rPr>
  </w:style>
  <w:style w:type="paragraph" w:customStyle="1" w:styleId="21">
    <w:name w:val="1"/>
    <w:basedOn w:val="1"/>
    <w:next w:val="7"/>
    <w:qFormat/>
    <w:uiPriority w:val="0"/>
    <w:pPr>
      <w:spacing w:line="360" w:lineRule="exact"/>
    </w:pPr>
    <w:rPr>
      <w:rFonts w:ascii="宋体" w:hAnsi="Courier New"/>
      <w:szCs w:val="20"/>
    </w:rPr>
  </w:style>
  <w:style w:type="character" w:customStyle="1" w:styleId="22">
    <w:name w:val="批注文字 Char"/>
    <w:basedOn w:val="13"/>
    <w:link w:val="5"/>
    <w:qFormat/>
    <w:uiPriority w:val="0"/>
    <w:rPr>
      <w:rFonts w:asciiTheme="minorHAnsi" w:hAnsiTheme="minorHAnsi" w:eastAsiaTheme="minorEastAsia" w:cstheme="minorBidi"/>
      <w:kern w:val="2"/>
      <w:sz w:val="21"/>
      <w:szCs w:val="22"/>
    </w:rPr>
  </w:style>
  <w:style w:type="character" w:customStyle="1" w:styleId="23">
    <w:name w:val="批注主题 Char"/>
    <w:basedOn w:val="22"/>
    <w:link w:val="4"/>
    <w:qFormat/>
    <w:uiPriority w:val="0"/>
    <w:rPr>
      <w:rFonts w:asciiTheme="minorHAnsi" w:hAnsiTheme="minorHAnsi" w:eastAsiaTheme="minorEastAsia" w:cstheme="minorBidi"/>
      <w:b/>
      <w:bCs/>
      <w:kern w:val="2"/>
      <w:sz w:val="21"/>
      <w:szCs w:val="22"/>
    </w:rPr>
  </w:style>
  <w:style w:type="character" w:customStyle="1" w:styleId="24">
    <w:name w:val="批注框文本 Char"/>
    <w:basedOn w:val="13"/>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3968</Words>
  <Characters>22618</Characters>
  <Lines>188</Lines>
  <Paragraphs>53</Paragraphs>
  <ScaleCrop>false</ScaleCrop>
  <LinksUpToDate>false</LinksUpToDate>
  <CharactersWithSpaces>26533</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niu</cp:lastModifiedBy>
  <dcterms:modified xsi:type="dcterms:W3CDTF">2018-01-31T07:09:14Z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