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9" w:lineRule="auto"/>
        <w:rPr>
          <w:rFonts w:ascii="宋体"/>
          <w:sz w:val="21"/>
        </w:rPr>
      </w:pPr>
    </w:p>
    <w:p>
      <w:pPr>
        <w:spacing w:line="309" w:lineRule="auto"/>
        <w:rPr>
          <w:rFonts w:ascii="宋体"/>
          <w:sz w:val="21"/>
        </w:rPr>
      </w:pPr>
    </w:p>
    <w:p>
      <w:pPr>
        <w:spacing w:line="309" w:lineRule="auto"/>
        <w:rPr>
          <w:rFonts w:ascii="宋体"/>
          <w:sz w:val="21"/>
        </w:rPr>
      </w:pPr>
    </w:p>
    <w:p>
      <w:pPr>
        <w:spacing w:before="130" w:line="588" w:lineRule="exact"/>
        <w:ind w:firstLine="1939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2"/>
          <w:position w:val="8"/>
          <w:sz w:val="40"/>
          <w:szCs w:val="40"/>
        </w:rPr>
        <w:t>外商投资准入特别管理措施</w:t>
      </w:r>
    </w:p>
    <w:p>
      <w:pPr>
        <w:spacing w:line="221" w:lineRule="auto"/>
        <w:ind w:firstLine="1952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40"/>
          <w:szCs w:val="40"/>
        </w:rPr>
        <w:t>（负面清单</w:t>
      </w:r>
      <w:r>
        <w:rPr>
          <w:rFonts w:hint="eastAsia" w:ascii="方正小标宋简体" w:hAnsi="方正小标宋简体" w:eastAsia="方正小标宋简体" w:cs="方正小标宋简体"/>
          <w:spacing w:val="-126"/>
          <w:sz w:val="40"/>
          <w:szCs w:val="40"/>
        </w:rPr>
        <w:t>）</w:t>
      </w:r>
      <w:r>
        <w:rPr>
          <w:rFonts w:hint="eastAsia" w:ascii="方正小标宋简体" w:hAnsi="方正小标宋简体" w:eastAsia="方正小标宋简体" w:cs="方正小标宋简体"/>
          <w:spacing w:val="7"/>
          <w:sz w:val="40"/>
          <w:szCs w:val="40"/>
        </w:rPr>
        <w:t>（2021</w:t>
      </w:r>
      <w:r>
        <w:rPr>
          <w:rFonts w:hint="eastAsia" w:ascii="方正小标宋简体" w:hAnsi="方正小标宋简体" w:eastAsia="方正小标宋简体" w:cs="方正小标宋简体"/>
          <w:spacing w:val="-88"/>
          <w:sz w:val="40"/>
          <w:szCs w:val="40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7"/>
          <w:sz w:val="40"/>
          <w:szCs w:val="40"/>
        </w:rPr>
        <w:t>年版）</w:t>
      </w:r>
    </w:p>
    <w:p>
      <w:pPr>
        <w:spacing w:line="305" w:lineRule="auto"/>
        <w:rPr>
          <w:rFonts w:ascii="宋体"/>
          <w:sz w:val="21"/>
        </w:rPr>
      </w:pPr>
    </w:p>
    <w:p>
      <w:pPr>
        <w:spacing w:line="306" w:lineRule="auto"/>
        <w:rPr>
          <w:rFonts w:ascii="宋体"/>
          <w:sz w:val="21"/>
        </w:rPr>
      </w:pPr>
    </w:p>
    <w:p>
      <w:pPr>
        <w:spacing w:before="110" w:line="180" w:lineRule="auto"/>
        <w:ind w:firstLine="3889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ascii="方正黑体_GBK" w:hAnsi="方正黑体_GBK" w:eastAsia="方正黑体_GBK" w:cs="方正黑体_GBK"/>
          <w:spacing w:val="-8"/>
          <w:sz w:val="30"/>
          <w:szCs w:val="30"/>
        </w:rPr>
        <w:t>说</w:t>
      </w:r>
      <w:r>
        <w:rPr>
          <w:rFonts w:ascii="方正黑体_GBK" w:hAnsi="方正黑体_GBK" w:eastAsia="方正黑体_GBK" w:cs="方正黑体_GBK"/>
          <w:spacing w:val="26"/>
          <w:sz w:val="30"/>
          <w:szCs w:val="30"/>
        </w:rPr>
        <w:t xml:space="preserve">   </w:t>
      </w:r>
      <w:r>
        <w:rPr>
          <w:rFonts w:ascii="方正黑体_GBK" w:hAnsi="方正黑体_GBK" w:eastAsia="方正黑体_GBK" w:cs="方正黑体_GBK"/>
          <w:spacing w:val="-8"/>
          <w:sz w:val="30"/>
          <w:szCs w:val="30"/>
        </w:rPr>
        <w:t>明</w:t>
      </w:r>
    </w:p>
    <w:p>
      <w:pPr>
        <w:spacing w:line="317" w:lineRule="auto"/>
        <w:rPr>
          <w:rFonts w:ascii="宋体"/>
          <w:sz w:val="21"/>
        </w:rPr>
      </w:pPr>
    </w:p>
    <w:p>
      <w:pPr>
        <w:spacing w:line="318" w:lineRule="auto"/>
        <w:rPr>
          <w:rFonts w:ascii="宋体"/>
          <w:sz w:val="21"/>
        </w:rPr>
      </w:pPr>
    </w:p>
    <w:p>
      <w:pPr>
        <w:spacing w:before="97" w:line="331" w:lineRule="auto"/>
        <w:ind w:firstLine="62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4"/>
          <w:sz w:val="30"/>
          <w:szCs w:val="30"/>
        </w:rPr>
        <w:t>一、《外商投资准入特别管理措施（</w:t>
      </w:r>
      <w:r>
        <w:rPr>
          <w:rFonts w:ascii="宋体" w:hAnsi="宋体" w:eastAsia="宋体" w:cs="宋体"/>
          <w:spacing w:val="-7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4"/>
          <w:sz w:val="30"/>
          <w:szCs w:val="30"/>
        </w:rPr>
        <w:t>负面清单）》（以下简称</w:t>
      </w:r>
      <w:r>
        <w:rPr>
          <w:rFonts w:ascii="宋体" w:hAnsi="宋体" w:eastAsia="宋体" w:cs="宋体"/>
          <w:spacing w:val="-6"/>
          <w:sz w:val="30"/>
          <w:szCs w:val="30"/>
        </w:rPr>
        <w:t>《外商投资准入负面清单》）统一列出股权要求、高管要求等外商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6"/>
          <w:sz w:val="30"/>
          <w:szCs w:val="30"/>
        </w:rPr>
        <w:t>投资准入方面的特别管理措施。《外商投资准入负面清单》之外的</w:t>
      </w:r>
      <w:r>
        <w:rPr>
          <w:rFonts w:ascii="宋体" w:hAnsi="宋体" w:eastAsia="宋体" w:cs="宋体"/>
          <w:spacing w:val="-2"/>
          <w:sz w:val="30"/>
          <w:szCs w:val="30"/>
        </w:rPr>
        <w:t>领域，按照内外资一致原则实施管理。境内外投资者统一适用《市</w:t>
      </w:r>
      <w:r>
        <w:rPr>
          <w:rFonts w:ascii="宋体" w:hAnsi="宋体" w:eastAsia="宋体" w:cs="宋体"/>
          <w:spacing w:val="2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3"/>
          <w:sz w:val="30"/>
          <w:szCs w:val="30"/>
        </w:rPr>
        <w:t>场准入负面清单》的有关规定。</w:t>
      </w:r>
    </w:p>
    <w:p>
      <w:pPr>
        <w:spacing w:before="250" w:line="362" w:lineRule="auto"/>
        <w:ind w:left="6" w:right="7" w:firstLine="61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二、境外投资者不得作为个体工商户、个人独资企业投资人、</w:t>
      </w:r>
      <w:r>
        <w:rPr>
          <w:rFonts w:ascii="宋体" w:hAnsi="宋体" w:eastAsia="宋体" w:cs="宋体"/>
          <w:spacing w:val="2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农民专业合作社成员，从事投资经营活动。</w:t>
      </w:r>
    </w:p>
    <w:p>
      <w:pPr>
        <w:spacing w:before="2" w:line="361" w:lineRule="auto"/>
        <w:ind w:left="15" w:right="4" w:firstLine="60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三、外商投资企业在中国境内投资，应符合《外商投资准入负</w:t>
      </w:r>
      <w:r>
        <w:rPr>
          <w:rFonts w:ascii="宋体" w:hAnsi="宋体" w:eastAsia="宋体" w:cs="宋体"/>
          <w:spacing w:val="2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9"/>
          <w:sz w:val="30"/>
          <w:szCs w:val="30"/>
        </w:rPr>
        <w:t>面清单》的有关规定。</w:t>
      </w:r>
    </w:p>
    <w:p>
      <w:pPr>
        <w:spacing w:before="7" w:line="361" w:lineRule="auto"/>
        <w:ind w:left="14" w:right="2" w:firstLine="62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四、有关主管部门在依法履行职责过程中，对境外投资者拟投</w:t>
      </w:r>
      <w:r>
        <w:rPr>
          <w:rFonts w:ascii="宋体" w:hAnsi="宋体" w:eastAsia="宋体" w:cs="宋体"/>
          <w:spacing w:val="2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7"/>
          <w:sz w:val="30"/>
          <w:szCs w:val="30"/>
        </w:rPr>
        <w:t>资《外商投资准入负面清单》内领域，但不符合《外商投资准入负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4"/>
          <w:sz w:val="30"/>
          <w:szCs w:val="30"/>
        </w:rPr>
        <w:t>面清单》规定的，不予办理许可、企业登记注册等相关事项；涉及</w:t>
      </w:r>
      <w:r>
        <w:rPr>
          <w:rFonts w:ascii="宋体" w:hAnsi="宋体" w:eastAsia="宋体" w:cs="宋体"/>
          <w:spacing w:val="-2"/>
          <w:sz w:val="30"/>
          <w:szCs w:val="30"/>
        </w:rPr>
        <w:t>固定资产投资项目核准的，不予办理相关核准事项。投资有股权要求的领域，不得设立外商投资合伙企业。</w:t>
      </w:r>
    </w:p>
    <w:p>
      <w:pPr>
        <w:spacing w:before="3" w:line="361" w:lineRule="auto"/>
        <w:ind w:left="16" w:right="4" w:firstLine="5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五、经国务院有关主管部门审核并报国务院批准，特定外商投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7"/>
          <w:sz w:val="30"/>
          <w:szCs w:val="30"/>
        </w:rPr>
        <w:t>资可以不适用《外商投资准入负面清单》中相关领域的规定。</w:t>
      </w:r>
    </w:p>
    <w:p>
      <w:pPr>
        <w:sectPr>
          <w:footerReference r:id="rId5" w:type="default"/>
          <w:pgSz w:w="11906" w:h="16839"/>
          <w:pgMar w:top="1431" w:right="1612" w:bottom="1748" w:left="1628" w:header="0" w:footer="1553" w:gutter="0"/>
          <w:cols w:space="720" w:num="1"/>
        </w:sectPr>
      </w:pPr>
    </w:p>
    <w:p>
      <w:pPr>
        <w:spacing w:line="255" w:lineRule="auto"/>
        <w:rPr>
          <w:rFonts w:ascii="宋体"/>
          <w:sz w:val="21"/>
        </w:rPr>
      </w:pPr>
    </w:p>
    <w:p>
      <w:pPr>
        <w:spacing w:line="255" w:lineRule="auto"/>
        <w:rPr>
          <w:rFonts w:ascii="宋体"/>
          <w:sz w:val="21"/>
        </w:rPr>
      </w:pPr>
    </w:p>
    <w:p>
      <w:pPr>
        <w:spacing w:before="97" w:line="362" w:lineRule="auto"/>
        <w:ind w:left="4" w:right="116" w:firstLine="61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7"/>
          <w:sz w:val="30"/>
          <w:szCs w:val="30"/>
        </w:rPr>
        <w:t>六、从事《外商投资准入负面清单》禁止投资领域业务的境内</w:t>
      </w:r>
      <w:r>
        <w:rPr>
          <w:rFonts w:ascii="宋体" w:hAnsi="宋体" w:eastAsia="宋体" w:cs="宋体"/>
          <w:spacing w:val="-2"/>
          <w:sz w:val="30"/>
          <w:szCs w:val="30"/>
        </w:rPr>
        <w:t>企业到境外发行股份并上市交易的，应当经国家有关主管部门审核</w:t>
      </w:r>
      <w:r>
        <w:rPr>
          <w:rFonts w:ascii="宋体" w:hAnsi="宋体" w:eastAsia="宋体" w:cs="宋体"/>
          <w:spacing w:val="1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同意，境外投资者不得参与企业经营管理，其持股比例参照境外投</w:t>
      </w:r>
      <w:r>
        <w:rPr>
          <w:rFonts w:ascii="宋体" w:hAnsi="宋体" w:eastAsia="宋体" w:cs="宋体"/>
          <w:spacing w:val="1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资者境内证券投资管理有关规定执行。</w:t>
      </w:r>
    </w:p>
    <w:p>
      <w:pPr>
        <w:spacing w:before="4" w:line="361" w:lineRule="auto"/>
        <w:ind w:left="22" w:right="113" w:firstLine="58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6"/>
          <w:sz w:val="30"/>
          <w:szCs w:val="30"/>
        </w:rPr>
        <w:t>七、境内公司、企业或自然人以其在境外合法设立或控制的公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sz w:val="30"/>
          <w:szCs w:val="30"/>
        </w:rPr>
        <w:t>司并购与其有关联关系的境内公司，按照外商投资、境外投资、外</w:t>
      </w:r>
      <w:r>
        <w:rPr>
          <w:rFonts w:ascii="宋体" w:hAnsi="宋体" w:eastAsia="宋体" w:cs="宋体"/>
          <w:spacing w:val="2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</w:rPr>
        <w:t>汇管理等有关规定办理。</w:t>
      </w:r>
    </w:p>
    <w:p>
      <w:pPr>
        <w:spacing w:before="2" w:line="361" w:lineRule="auto"/>
        <w:ind w:left="18" w:firstLine="58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7"/>
          <w:sz w:val="30"/>
          <w:szCs w:val="30"/>
        </w:rPr>
        <w:t>八、《外商投资准入负面清单》中未列出的文化、金融等领域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9"/>
          <w:sz w:val="30"/>
          <w:szCs w:val="30"/>
        </w:rPr>
        <w:t>与行政审批、资质条件、国家安全等相关措施，按照现行规定执行。</w:t>
      </w:r>
    </w:p>
    <w:p>
      <w:pPr>
        <w:spacing w:before="8" w:line="361" w:lineRule="auto"/>
        <w:ind w:right="113" w:firstLine="60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6"/>
          <w:sz w:val="30"/>
          <w:szCs w:val="30"/>
        </w:rPr>
        <w:t>九、《内地与香港关于建立更紧密经贸关系的安排》及其后续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5"/>
          <w:sz w:val="30"/>
          <w:szCs w:val="30"/>
        </w:rPr>
        <w:t>协议、《内地与澳门关于建立更紧密经贸关系的安排》及其后续协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5"/>
          <w:sz w:val="30"/>
          <w:szCs w:val="30"/>
        </w:rPr>
        <w:t>议、《海峡两岸经济合作框架协议》及其后续协议、我国缔结或者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参加的国际条约、协定对境外投资者准入待遇有更优惠规定的，可</w:t>
      </w:r>
      <w:r>
        <w:rPr>
          <w:rFonts w:ascii="宋体" w:hAnsi="宋体" w:eastAsia="宋体" w:cs="宋体"/>
          <w:spacing w:val="1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以按照相关规定执行。在自由贸易试验区等特殊经济区域对符合条</w:t>
      </w:r>
      <w:r>
        <w:rPr>
          <w:rFonts w:ascii="宋体" w:hAnsi="宋体" w:eastAsia="宋体" w:cs="宋体"/>
          <w:spacing w:val="1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件的投资者实施更优惠开放措施的，按照相关规定执行。</w:t>
      </w:r>
    </w:p>
    <w:p>
      <w:pPr>
        <w:spacing w:before="2" w:line="361" w:lineRule="auto"/>
        <w:ind w:left="38" w:right="113" w:firstLine="57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8"/>
          <w:sz w:val="30"/>
          <w:szCs w:val="30"/>
        </w:rPr>
        <w:t>十、《外商投资准入负面清单》由国家发展改革委、商务部会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6"/>
          <w:sz w:val="30"/>
          <w:szCs w:val="30"/>
        </w:rPr>
        <w:t>同有关部门负责解释。</w:t>
      </w:r>
    </w:p>
    <w:p>
      <w:pPr>
        <w:spacing w:before="3" w:line="361" w:lineRule="auto"/>
        <w:ind w:left="1" w:right="114" w:firstLine="61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7"/>
          <w:sz w:val="30"/>
          <w:szCs w:val="30"/>
        </w:rPr>
        <w:t>十一、</w:t>
      </w:r>
      <w:r>
        <w:rPr>
          <w:rFonts w:ascii="Times New Roman" w:hAnsi="Times New Roman" w:eastAsia="Times New Roman" w:cs="Times New Roman"/>
          <w:spacing w:val="-7"/>
          <w:sz w:val="30"/>
          <w:szCs w:val="30"/>
        </w:rPr>
        <w:t>2020</w:t>
      </w:r>
      <w:r>
        <w:rPr>
          <w:rFonts w:ascii="Times New Roman" w:hAnsi="Times New Roman" w:eastAsia="Times New Roman" w:cs="Times New Roman"/>
          <w:spacing w:val="23"/>
          <w:w w:val="10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7"/>
          <w:sz w:val="30"/>
          <w:szCs w:val="30"/>
        </w:rPr>
        <w:t>年</w:t>
      </w:r>
      <w:r>
        <w:rPr>
          <w:rFonts w:ascii="宋体" w:hAnsi="宋体" w:eastAsia="宋体" w:cs="宋体"/>
          <w:spacing w:val="-63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0"/>
          <w:szCs w:val="30"/>
        </w:rPr>
        <w:t>6</w:t>
      </w:r>
      <w:r>
        <w:rPr>
          <w:rFonts w:ascii="Times New Roman" w:hAnsi="Times New Roman" w:eastAsia="Times New Roman" w:cs="Times New Roman"/>
          <w:spacing w:val="29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7"/>
          <w:sz w:val="30"/>
          <w:szCs w:val="30"/>
        </w:rPr>
        <w:t>月</w:t>
      </w:r>
      <w:r>
        <w:rPr>
          <w:rFonts w:ascii="宋体" w:hAnsi="宋体" w:eastAsia="宋体" w:cs="宋体"/>
          <w:spacing w:val="-7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0"/>
          <w:szCs w:val="30"/>
        </w:rPr>
        <w:t>23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7"/>
          <w:sz w:val="30"/>
          <w:szCs w:val="30"/>
        </w:rPr>
        <w:t>日国家发展改革委、商务部发布的</w:t>
      </w:r>
      <w:r>
        <w:rPr>
          <w:rFonts w:ascii="宋体" w:hAnsi="宋体" w:eastAsia="宋体" w:cs="宋体"/>
          <w:spacing w:val="-69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0"/>
          <w:szCs w:val="30"/>
        </w:rPr>
        <w:t>2020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5"/>
          <w:sz w:val="30"/>
          <w:szCs w:val="30"/>
        </w:rPr>
        <w:t>年版《外商投资准入负面清单》自</w:t>
      </w:r>
      <w:r>
        <w:rPr>
          <w:rFonts w:ascii="宋体" w:hAnsi="宋体" w:eastAsia="宋体" w:cs="宋体"/>
          <w:spacing w:val="-67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15"/>
          <w:position w:val="-1"/>
          <w:sz w:val="30"/>
          <w:szCs w:val="30"/>
        </w:rPr>
        <w:t>2022</w:t>
      </w:r>
      <w:r>
        <w:rPr>
          <w:rFonts w:ascii="Times New Roman" w:hAnsi="Times New Roman" w:eastAsia="Times New Roman" w:cs="Times New Roman"/>
          <w:spacing w:val="17"/>
          <w:w w:val="101"/>
          <w:position w:val="-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5"/>
          <w:sz w:val="30"/>
          <w:szCs w:val="30"/>
        </w:rPr>
        <w:t>年</w:t>
      </w:r>
      <w:r>
        <w:rPr>
          <w:rFonts w:ascii="宋体" w:hAnsi="宋体" w:eastAsia="宋体" w:cs="宋体"/>
          <w:spacing w:val="-4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15"/>
          <w:position w:val="-1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spacing w:val="29"/>
          <w:position w:val="-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5"/>
          <w:sz w:val="30"/>
          <w:szCs w:val="30"/>
        </w:rPr>
        <w:t>月</w:t>
      </w:r>
      <w:r>
        <w:rPr>
          <w:rFonts w:ascii="宋体" w:hAnsi="宋体" w:eastAsia="宋体" w:cs="宋体"/>
          <w:spacing w:val="-4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15"/>
          <w:position w:val="-1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spacing w:val="5"/>
          <w:w w:val="101"/>
          <w:position w:val="-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5"/>
          <w:sz w:val="30"/>
          <w:szCs w:val="30"/>
        </w:rPr>
        <w:t>日起废止。</w:t>
      </w:r>
    </w:p>
    <w:p>
      <w:pPr>
        <w:sectPr>
          <w:footerReference r:id="rId6" w:type="default"/>
          <w:pgSz w:w="11906" w:h="16839"/>
          <w:pgMar w:top="1431" w:right="1501" w:bottom="1748" w:left="1630" w:header="0" w:footer="1553" w:gutter="0"/>
          <w:cols w:space="720" w:num="1"/>
        </w:sectPr>
      </w:pPr>
      <w:bookmarkStart w:id="0" w:name="_GoBack"/>
      <w:bookmarkEnd w:id="0"/>
    </w:p>
    <w:p>
      <w:pPr>
        <w:spacing w:line="242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before="117" w:line="192" w:lineRule="auto"/>
        <w:ind w:firstLine="53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-1"/>
          <w:sz w:val="32"/>
          <w:szCs w:val="32"/>
        </w:rPr>
        <w:t>外商投资准入特别管理措施（负面清单</w:t>
      </w:r>
      <w:r>
        <w:rPr>
          <w:rFonts w:ascii="方正黑体_GBK" w:hAnsi="方正黑体_GBK" w:eastAsia="方正黑体_GBK" w:cs="方正黑体_GBK"/>
          <w:spacing w:val="3"/>
          <w:sz w:val="32"/>
          <w:szCs w:val="32"/>
        </w:rPr>
        <w:t>）（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2021</w:t>
      </w:r>
      <w:r>
        <w:rPr>
          <w:rFonts w:ascii="Times New Roman" w:hAnsi="Times New Roman" w:eastAsia="Times New Roman" w:cs="Times New Roman"/>
          <w:spacing w:val="21"/>
          <w:sz w:val="32"/>
          <w:szCs w:val="32"/>
        </w:rPr>
        <w:t xml:space="preserve"> </w:t>
      </w:r>
      <w:r>
        <w:rPr>
          <w:rFonts w:ascii="方正黑体_GBK" w:hAnsi="方正黑体_GBK" w:eastAsia="方正黑体_GBK" w:cs="方正黑体_GBK"/>
          <w:spacing w:val="-1"/>
          <w:sz w:val="32"/>
          <w:szCs w:val="32"/>
        </w:rPr>
        <w:t>年版）</w:t>
      </w:r>
    </w:p>
    <w:p/>
    <w:p>
      <w:pPr>
        <w:spacing w:line="150" w:lineRule="exact"/>
      </w:pPr>
    </w:p>
    <w:tbl>
      <w:tblPr>
        <w:tblStyle w:val="4"/>
        <w:tblW w:w="87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79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54" w:type="dxa"/>
            <w:vAlign w:val="top"/>
          </w:tcPr>
          <w:p>
            <w:pPr>
              <w:spacing w:before="151" w:line="180" w:lineRule="auto"/>
              <w:ind w:firstLine="150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7937" w:type="dxa"/>
            <w:vAlign w:val="top"/>
          </w:tcPr>
          <w:p>
            <w:pPr>
              <w:spacing w:before="144" w:line="180" w:lineRule="auto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8"/>
                <w:szCs w:val="28"/>
              </w:rPr>
              <w:t>特别管理措施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791" w:type="dxa"/>
            <w:gridSpan w:val="2"/>
            <w:vAlign w:val="top"/>
          </w:tcPr>
          <w:p>
            <w:pPr>
              <w:spacing w:before="164" w:line="201" w:lineRule="auto"/>
              <w:ind w:firstLine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spacing w:val="-2"/>
                <w:sz w:val="24"/>
                <w:szCs w:val="24"/>
              </w:rPr>
              <w:t>一、农、林、牧、渔业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54" w:type="dxa"/>
            <w:vAlign w:val="top"/>
          </w:tcPr>
          <w:p>
            <w:pPr>
              <w:spacing w:before="253" w:line="180" w:lineRule="auto"/>
              <w:ind w:firstLine="4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7937" w:type="dxa"/>
            <w:vAlign w:val="top"/>
          </w:tcPr>
          <w:p>
            <w:pPr>
              <w:spacing w:before="45" w:line="246" w:lineRule="auto"/>
              <w:ind w:left="132" w:right="106" w:hanging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小麦新品种选育和种子生产的中方股比不低于</w:t>
            </w:r>
            <w:r>
              <w:rPr>
                <w:rFonts w:ascii="宋体" w:hAnsi="宋体" w:eastAsia="宋体" w:cs="宋体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34%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、玉米新品种选育和种子生产须由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中方控股。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54" w:type="dxa"/>
            <w:vAlign w:val="top"/>
          </w:tcPr>
          <w:p>
            <w:pPr>
              <w:spacing w:before="254" w:line="180" w:lineRule="auto"/>
              <w:ind w:firstLine="4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7937" w:type="dxa"/>
            <w:vAlign w:val="top"/>
          </w:tcPr>
          <w:p>
            <w:pPr>
              <w:spacing w:before="79" w:line="232" w:lineRule="auto"/>
              <w:ind w:left="112"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禁止投资中国稀有和特有的珍贵优良品种的研发、养殖、种植以及相关繁殖材料的生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产（包括种植业、畜牧业、水产业的优良基因）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54" w:type="dxa"/>
            <w:vAlign w:val="top"/>
          </w:tcPr>
          <w:p>
            <w:pPr>
              <w:spacing w:before="94" w:line="180" w:lineRule="auto"/>
              <w:ind w:firstLine="4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7937" w:type="dxa"/>
            <w:vAlign w:val="top"/>
          </w:tcPr>
          <w:p>
            <w:pPr>
              <w:spacing w:before="79" w:line="184" w:lineRule="auto"/>
              <w:ind w:firstLine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禁止投资农作物、种畜禽、水产苗种转基因品种选育及其转基因种子（苗）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生产。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54" w:type="dxa"/>
            <w:vAlign w:val="top"/>
          </w:tcPr>
          <w:p>
            <w:pPr>
              <w:spacing w:before="96" w:line="180" w:lineRule="auto"/>
              <w:ind w:firstLine="40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7937" w:type="dxa"/>
            <w:vAlign w:val="top"/>
          </w:tcPr>
          <w:p>
            <w:pPr>
              <w:spacing w:before="78" w:line="184" w:lineRule="auto"/>
              <w:ind w:firstLine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禁止投资中国管辖海域及内陆水域水产品捕捞。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791" w:type="dxa"/>
            <w:gridSpan w:val="2"/>
            <w:vAlign w:val="top"/>
          </w:tcPr>
          <w:p>
            <w:pPr>
              <w:spacing w:before="167" w:line="201" w:lineRule="auto"/>
              <w:ind w:firstLine="3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spacing w:val="-2"/>
                <w:sz w:val="24"/>
                <w:szCs w:val="24"/>
              </w:rPr>
              <w:t>二、采矿业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54" w:type="dxa"/>
            <w:vAlign w:val="top"/>
          </w:tcPr>
          <w:p>
            <w:pPr>
              <w:spacing w:before="98" w:line="180" w:lineRule="auto"/>
              <w:ind w:firstLine="41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7937" w:type="dxa"/>
            <w:vAlign w:val="top"/>
          </w:tcPr>
          <w:p>
            <w:pPr>
              <w:spacing w:before="77" w:line="184" w:lineRule="auto"/>
              <w:ind w:firstLine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禁止投资稀土、放射性矿产、钨勘查、开采及选矿。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791" w:type="dxa"/>
            <w:gridSpan w:val="2"/>
            <w:vAlign w:val="top"/>
          </w:tcPr>
          <w:p>
            <w:pPr>
              <w:spacing w:before="167" w:line="201" w:lineRule="auto"/>
              <w:ind w:firstLine="3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spacing w:val="-2"/>
                <w:sz w:val="24"/>
                <w:szCs w:val="24"/>
              </w:rPr>
              <w:t>三、制造业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54" w:type="dxa"/>
            <w:vAlign w:val="top"/>
          </w:tcPr>
          <w:p>
            <w:pPr>
              <w:spacing w:before="94" w:line="180" w:lineRule="auto"/>
              <w:ind w:firstLine="4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7937" w:type="dxa"/>
            <w:vAlign w:val="top"/>
          </w:tcPr>
          <w:p>
            <w:pPr>
              <w:spacing w:before="79" w:line="184" w:lineRule="auto"/>
              <w:ind w:firstLine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出版物印刷须由中方控股。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54" w:type="dxa"/>
            <w:vAlign w:val="top"/>
          </w:tcPr>
          <w:p>
            <w:pPr>
              <w:spacing w:before="99" w:line="180" w:lineRule="auto"/>
              <w:ind w:firstLine="4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7937" w:type="dxa"/>
            <w:vAlign w:val="top"/>
          </w:tcPr>
          <w:p>
            <w:pPr>
              <w:spacing w:before="78" w:line="184" w:lineRule="auto"/>
              <w:ind w:firstLine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禁止投资中药饮片的蒸、炒、炙、煅等炮制技术的应用及中成药保密处方产品的生产。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791" w:type="dxa"/>
            <w:gridSpan w:val="2"/>
            <w:vAlign w:val="top"/>
          </w:tcPr>
          <w:p>
            <w:pPr>
              <w:spacing w:before="167" w:line="201" w:lineRule="auto"/>
              <w:ind w:firstLine="3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spacing w:val="-2"/>
                <w:sz w:val="24"/>
                <w:szCs w:val="24"/>
              </w:rPr>
              <w:t>四、电力、热力、燃气及水生产和供应业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54" w:type="dxa"/>
            <w:vAlign w:val="top"/>
          </w:tcPr>
          <w:p>
            <w:pPr>
              <w:spacing w:before="95" w:line="180" w:lineRule="auto"/>
              <w:ind w:firstLine="4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7937" w:type="dxa"/>
            <w:vAlign w:val="top"/>
          </w:tcPr>
          <w:p>
            <w:pPr>
              <w:spacing w:before="77" w:line="184" w:lineRule="auto"/>
              <w:ind w:firstLine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核电站的建设、经营须由中方控股。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791" w:type="dxa"/>
            <w:gridSpan w:val="2"/>
            <w:vAlign w:val="top"/>
          </w:tcPr>
          <w:p>
            <w:pPr>
              <w:spacing w:before="167" w:line="201" w:lineRule="auto"/>
              <w:ind w:firstLine="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spacing w:val="-2"/>
                <w:sz w:val="24"/>
                <w:szCs w:val="24"/>
              </w:rPr>
              <w:t>五、批发和零售业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54" w:type="dxa"/>
            <w:vAlign w:val="top"/>
          </w:tcPr>
          <w:p>
            <w:pPr>
              <w:spacing w:before="95" w:line="180" w:lineRule="auto"/>
              <w:ind w:firstLine="4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7937" w:type="dxa"/>
            <w:vAlign w:val="top"/>
          </w:tcPr>
          <w:p>
            <w:pPr>
              <w:spacing w:before="79" w:line="184" w:lineRule="auto"/>
              <w:ind w:firstLine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禁止投资烟叶、卷烟、复烤烟叶及其他烟草制品的批发、零售。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791" w:type="dxa"/>
            <w:gridSpan w:val="2"/>
            <w:vAlign w:val="top"/>
          </w:tcPr>
          <w:p>
            <w:pPr>
              <w:spacing w:before="166" w:line="201" w:lineRule="auto"/>
              <w:ind w:firstLine="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spacing w:val="-2"/>
                <w:sz w:val="24"/>
                <w:szCs w:val="24"/>
              </w:rPr>
              <w:t>六、交通运输、仓储和邮政业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54" w:type="dxa"/>
            <w:vAlign w:val="top"/>
          </w:tcPr>
          <w:p>
            <w:pPr>
              <w:spacing w:before="96" w:line="180" w:lineRule="auto"/>
              <w:ind w:firstLine="4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w w:val="97"/>
                <w:sz w:val="21"/>
                <w:szCs w:val="21"/>
              </w:rPr>
              <w:t>10</w:t>
            </w:r>
          </w:p>
        </w:tc>
        <w:tc>
          <w:tcPr>
            <w:tcW w:w="7937" w:type="dxa"/>
            <w:vAlign w:val="top"/>
          </w:tcPr>
          <w:p>
            <w:pPr>
              <w:spacing w:before="79" w:line="184" w:lineRule="auto"/>
              <w:ind w:firstLine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国内水上运输公司须由中方控股。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854" w:type="dxa"/>
            <w:vAlign w:val="top"/>
          </w:tcPr>
          <w:p>
            <w:pPr>
              <w:spacing w:line="311" w:lineRule="auto"/>
              <w:rPr>
                <w:rFonts w:ascii="宋体"/>
                <w:sz w:val="21"/>
              </w:rPr>
            </w:pPr>
          </w:p>
          <w:p>
            <w:pPr>
              <w:spacing w:before="61" w:line="180" w:lineRule="auto"/>
              <w:ind w:firstLine="4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w w:val="97"/>
                <w:sz w:val="21"/>
                <w:szCs w:val="21"/>
              </w:rPr>
              <w:t>11</w:t>
            </w:r>
          </w:p>
        </w:tc>
        <w:tc>
          <w:tcPr>
            <w:tcW w:w="7937" w:type="dxa"/>
            <w:vAlign w:val="top"/>
          </w:tcPr>
          <w:p>
            <w:pPr>
              <w:spacing w:before="47" w:line="258" w:lineRule="auto"/>
              <w:ind w:left="113" w:right="83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公共航空运输公司须由中方控股，且一家外商及其关联企业投资比例不得超过</w:t>
            </w:r>
            <w:r>
              <w:rPr>
                <w:rFonts w:ascii="宋体" w:hAnsi="宋体" w:eastAsia="宋体" w:cs="宋体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25%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法定代表人须由中国籍公民担任。通用航空公司的法定代表人须由中国籍公民担任，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其中农、林、渔业通用航空公司限于合资，其他通用航空公司限于中方控股。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54" w:type="dxa"/>
            <w:vAlign w:val="top"/>
          </w:tcPr>
          <w:p>
            <w:pPr>
              <w:spacing w:before="96" w:line="180" w:lineRule="auto"/>
              <w:ind w:firstLine="4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w w:val="97"/>
                <w:sz w:val="21"/>
                <w:szCs w:val="21"/>
              </w:rPr>
              <w:t>12</w:t>
            </w:r>
          </w:p>
        </w:tc>
        <w:tc>
          <w:tcPr>
            <w:tcW w:w="7937" w:type="dxa"/>
            <w:vAlign w:val="top"/>
          </w:tcPr>
          <w:p>
            <w:pPr>
              <w:spacing w:before="80" w:line="184" w:lineRule="auto"/>
              <w:ind w:firstLine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民用机场的建设、经营须由中方相对控股。外方不得参与建设、运营机场塔台。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54" w:type="dxa"/>
            <w:vAlign w:val="top"/>
          </w:tcPr>
          <w:p>
            <w:pPr>
              <w:spacing w:before="97" w:line="180" w:lineRule="auto"/>
              <w:ind w:firstLine="4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w w:val="97"/>
                <w:sz w:val="21"/>
                <w:szCs w:val="21"/>
              </w:rPr>
              <w:t>13</w:t>
            </w:r>
          </w:p>
        </w:tc>
        <w:tc>
          <w:tcPr>
            <w:tcW w:w="7937" w:type="dxa"/>
            <w:vAlign w:val="top"/>
          </w:tcPr>
          <w:p>
            <w:pPr>
              <w:spacing w:before="79" w:line="184" w:lineRule="auto"/>
              <w:ind w:firstLine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禁止投资邮政公司、信件的国内快递业务。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791" w:type="dxa"/>
            <w:gridSpan w:val="2"/>
            <w:vAlign w:val="top"/>
          </w:tcPr>
          <w:p>
            <w:pPr>
              <w:spacing w:before="166" w:line="201" w:lineRule="auto"/>
              <w:ind w:firstLine="3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spacing w:val="-2"/>
                <w:sz w:val="24"/>
                <w:szCs w:val="24"/>
              </w:rPr>
              <w:t>七、信息传输、软件和信息技术服务业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854" w:type="dxa"/>
            <w:vAlign w:val="top"/>
          </w:tcPr>
          <w:p>
            <w:pPr>
              <w:spacing w:line="312" w:lineRule="auto"/>
              <w:rPr>
                <w:rFonts w:ascii="宋体"/>
                <w:sz w:val="21"/>
              </w:rPr>
            </w:pPr>
          </w:p>
          <w:p>
            <w:pPr>
              <w:spacing w:before="61" w:line="180" w:lineRule="auto"/>
              <w:ind w:firstLine="4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w w:val="97"/>
                <w:sz w:val="21"/>
                <w:szCs w:val="21"/>
              </w:rPr>
              <w:t>14</w:t>
            </w:r>
          </w:p>
        </w:tc>
        <w:tc>
          <w:tcPr>
            <w:tcW w:w="7937" w:type="dxa"/>
            <w:vAlign w:val="top"/>
          </w:tcPr>
          <w:p>
            <w:pPr>
              <w:spacing w:before="48" w:line="258" w:lineRule="auto"/>
              <w:ind w:left="111" w:right="105" w:firstLine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电信公司：限于中国入世承诺开放的电信业务，增值电信业务的外资股比不超过</w:t>
            </w:r>
            <w:r>
              <w:rPr>
                <w:rFonts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50%</w:t>
            </w:r>
            <w:r>
              <w:rPr>
                <w:rFonts w:ascii="Times New Roman" w:hAnsi="Times New Roman" w:eastAsia="Times New Roman" w:cs="Times New Roman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（电子商务、国内多方通信、存储转发类、呼叫中心除外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>）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基础电信业务须由中方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控股。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854" w:type="dxa"/>
            <w:vAlign w:val="top"/>
          </w:tcPr>
          <w:p>
            <w:pPr>
              <w:spacing w:line="312" w:lineRule="auto"/>
              <w:rPr>
                <w:rFonts w:ascii="宋体"/>
                <w:sz w:val="21"/>
              </w:rPr>
            </w:pPr>
          </w:p>
          <w:p>
            <w:pPr>
              <w:spacing w:before="61" w:line="180" w:lineRule="auto"/>
              <w:ind w:firstLine="4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w w:val="97"/>
                <w:sz w:val="21"/>
                <w:szCs w:val="21"/>
              </w:rPr>
              <w:t>15</w:t>
            </w:r>
          </w:p>
        </w:tc>
        <w:tc>
          <w:tcPr>
            <w:tcW w:w="7937" w:type="dxa"/>
            <w:vAlign w:val="top"/>
          </w:tcPr>
          <w:p>
            <w:pPr>
              <w:spacing w:before="80" w:line="249" w:lineRule="auto"/>
              <w:ind w:left="114" w:right="104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禁止投资互联网新闻信息服务、网络出版服务、网络视听节目服务、互联网文化经营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（音乐除外）、互联网公众发布信息服务（上述服务中，中国入世承诺中已开放的内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容除外）。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7" w:type="default"/>
          <w:pgSz w:w="11906" w:h="16839"/>
          <w:pgMar w:top="1431" w:right="1555" w:bottom="1748" w:left="1554" w:header="0" w:footer="1553" w:gutter="0"/>
          <w:cols w:space="720" w:num="1"/>
        </w:sectPr>
      </w:pPr>
    </w:p>
    <w:p/>
    <w:p/>
    <w:p>
      <w:pPr>
        <w:spacing w:line="70" w:lineRule="exact"/>
      </w:pPr>
    </w:p>
    <w:tbl>
      <w:tblPr>
        <w:tblStyle w:val="4"/>
        <w:tblW w:w="87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79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54" w:type="dxa"/>
            <w:vAlign w:val="top"/>
          </w:tcPr>
          <w:p>
            <w:pPr>
              <w:spacing w:before="149" w:line="180" w:lineRule="auto"/>
              <w:ind w:firstLine="150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7937" w:type="dxa"/>
            <w:vAlign w:val="top"/>
          </w:tcPr>
          <w:p>
            <w:pPr>
              <w:spacing w:before="143" w:line="180" w:lineRule="auto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8"/>
                <w:szCs w:val="28"/>
              </w:rPr>
              <w:t>特别管理措施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791" w:type="dxa"/>
            <w:gridSpan w:val="2"/>
            <w:vAlign w:val="top"/>
          </w:tcPr>
          <w:p>
            <w:pPr>
              <w:spacing w:before="165" w:line="201" w:lineRule="auto"/>
              <w:ind w:firstLine="3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spacing w:val="-2"/>
                <w:sz w:val="24"/>
                <w:szCs w:val="24"/>
              </w:rPr>
              <w:t>八、租赁和商务服务业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54" w:type="dxa"/>
            <w:vAlign w:val="top"/>
          </w:tcPr>
          <w:p>
            <w:pPr>
              <w:spacing w:before="253" w:line="180" w:lineRule="auto"/>
              <w:ind w:firstLine="4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w w:val="97"/>
                <w:sz w:val="21"/>
                <w:szCs w:val="21"/>
              </w:rPr>
              <w:t>16</w:t>
            </w:r>
          </w:p>
        </w:tc>
        <w:tc>
          <w:tcPr>
            <w:tcW w:w="7937" w:type="dxa"/>
            <w:vAlign w:val="top"/>
          </w:tcPr>
          <w:p>
            <w:pPr>
              <w:spacing w:before="76" w:line="233" w:lineRule="auto"/>
              <w:ind w:left="115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禁止投资中国法律事务（提供有关中国法律环境影响的信息除外</w:t>
            </w:r>
            <w:r>
              <w:rPr>
                <w:rFonts w:ascii="宋体" w:hAnsi="宋体" w:eastAsia="宋体" w:cs="宋体"/>
                <w:spacing w:val="-60"/>
                <w:sz w:val="21"/>
                <w:szCs w:val="21"/>
              </w:rPr>
              <w:t>）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0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不得成为国内律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师事务所合伙人。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54" w:type="dxa"/>
            <w:vAlign w:val="top"/>
          </w:tcPr>
          <w:p>
            <w:pPr>
              <w:spacing w:before="94" w:line="180" w:lineRule="auto"/>
              <w:ind w:firstLine="4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w w:val="97"/>
                <w:sz w:val="21"/>
                <w:szCs w:val="21"/>
              </w:rPr>
              <w:t>17</w:t>
            </w:r>
          </w:p>
        </w:tc>
        <w:tc>
          <w:tcPr>
            <w:tcW w:w="7937" w:type="dxa"/>
            <w:vAlign w:val="top"/>
          </w:tcPr>
          <w:p>
            <w:pPr>
              <w:spacing w:before="77" w:line="184" w:lineRule="auto"/>
              <w:ind w:firstLine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市场调查限于合资，其中广播电视收听、收视调查须由中方控股。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54" w:type="dxa"/>
            <w:vAlign w:val="top"/>
          </w:tcPr>
          <w:p>
            <w:pPr>
              <w:spacing w:before="93" w:line="180" w:lineRule="auto"/>
              <w:ind w:firstLine="4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w w:val="97"/>
                <w:sz w:val="21"/>
                <w:szCs w:val="21"/>
              </w:rPr>
              <w:t>18</w:t>
            </w:r>
          </w:p>
        </w:tc>
        <w:tc>
          <w:tcPr>
            <w:tcW w:w="7937" w:type="dxa"/>
            <w:vAlign w:val="top"/>
          </w:tcPr>
          <w:p>
            <w:pPr>
              <w:spacing w:before="78" w:line="184" w:lineRule="auto"/>
              <w:ind w:firstLine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禁止投资社会调查。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791" w:type="dxa"/>
            <w:gridSpan w:val="2"/>
            <w:vAlign w:val="top"/>
          </w:tcPr>
          <w:p>
            <w:pPr>
              <w:spacing w:before="165" w:line="201" w:lineRule="auto"/>
              <w:ind w:firstLine="3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spacing w:val="-2"/>
                <w:sz w:val="24"/>
                <w:szCs w:val="24"/>
              </w:rPr>
              <w:t>九、科学研究和技术服务业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54" w:type="dxa"/>
            <w:vAlign w:val="top"/>
          </w:tcPr>
          <w:p>
            <w:pPr>
              <w:spacing w:before="95" w:line="180" w:lineRule="auto"/>
              <w:ind w:firstLine="4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w w:val="97"/>
                <w:sz w:val="21"/>
                <w:szCs w:val="21"/>
              </w:rPr>
              <w:t>19</w:t>
            </w:r>
          </w:p>
        </w:tc>
        <w:tc>
          <w:tcPr>
            <w:tcW w:w="7937" w:type="dxa"/>
            <w:vAlign w:val="top"/>
          </w:tcPr>
          <w:p>
            <w:pPr>
              <w:spacing w:before="77" w:line="184" w:lineRule="auto"/>
              <w:ind w:firstLine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禁止投资人体干细胞、基因诊断与治疗技术开发和应用。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54" w:type="dxa"/>
            <w:vAlign w:val="top"/>
          </w:tcPr>
          <w:p>
            <w:pPr>
              <w:spacing w:before="93" w:line="180" w:lineRule="auto"/>
              <w:ind w:firstLine="4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20</w:t>
            </w:r>
          </w:p>
        </w:tc>
        <w:tc>
          <w:tcPr>
            <w:tcW w:w="7937" w:type="dxa"/>
            <w:vAlign w:val="top"/>
          </w:tcPr>
          <w:p>
            <w:pPr>
              <w:spacing w:before="78" w:line="184" w:lineRule="auto"/>
              <w:ind w:firstLine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禁止投资人文社会科学研究机构。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854" w:type="dxa"/>
            <w:vAlign w:val="top"/>
          </w:tcPr>
          <w:p>
            <w:pPr>
              <w:spacing w:line="296" w:lineRule="auto"/>
              <w:rPr>
                <w:rFonts w:ascii="宋体"/>
                <w:sz w:val="21"/>
              </w:rPr>
            </w:pPr>
          </w:p>
          <w:p>
            <w:pPr>
              <w:spacing w:line="296" w:lineRule="auto"/>
              <w:rPr>
                <w:rFonts w:ascii="宋体"/>
                <w:sz w:val="21"/>
              </w:rPr>
            </w:pPr>
          </w:p>
          <w:p>
            <w:pPr>
              <w:spacing w:before="60" w:line="180" w:lineRule="auto"/>
              <w:ind w:firstLine="4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21</w:t>
            </w:r>
          </w:p>
        </w:tc>
        <w:tc>
          <w:tcPr>
            <w:tcW w:w="7937" w:type="dxa"/>
            <w:vAlign w:val="top"/>
          </w:tcPr>
          <w:p>
            <w:pPr>
              <w:spacing w:before="81" w:line="258" w:lineRule="auto"/>
              <w:ind w:left="111" w:right="106" w:firstLine="5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禁止投资大地测量、海洋测绘、测绘航空摄影、地面移动测量、行政区域界线测绘，</w:t>
            </w:r>
          </w:p>
          <w:p>
            <w:pPr>
              <w:spacing w:before="81" w:line="258" w:lineRule="auto"/>
              <w:ind w:left="111" w:right="106" w:firstLine="5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地形图、世界政区地图、全国政区地图、省级及以下政区地图、全国性教学地图、地 方性教学地图、真三维地图和导航电子地图编制，区域性的地质填图、矿产地质、地</w:t>
            </w:r>
          </w:p>
          <w:p>
            <w:pPr>
              <w:spacing w:before="81" w:line="258" w:lineRule="auto"/>
              <w:ind w:left="111" w:right="106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球物理、地球化学、水文地质、环境地质、地质灾害、遥感地质等调查（矿业权人在 其矿业权范围内开展工作不受此特别管理措施限制）。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791" w:type="dxa"/>
            <w:gridSpan w:val="2"/>
            <w:vAlign w:val="top"/>
          </w:tcPr>
          <w:p>
            <w:pPr>
              <w:spacing w:before="167" w:line="201" w:lineRule="auto"/>
              <w:ind w:firstLine="3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spacing w:val="-2"/>
                <w:sz w:val="24"/>
                <w:szCs w:val="24"/>
              </w:rPr>
              <w:t>十、教育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854" w:type="dxa"/>
            <w:vAlign w:val="top"/>
          </w:tcPr>
          <w:p>
            <w:pPr>
              <w:spacing w:line="313" w:lineRule="auto"/>
              <w:rPr>
                <w:rFonts w:ascii="宋体"/>
                <w:sz w:val="21"/>
              </w:rPr>
            </w:pPr>
          </w:p>
          <w:p>
            <w:pPr>
              <w:spacing w:before="60" w:line="180" w:lineRule="auto"/>
              <w:ind w:firstLine="4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22</w:t>
            </w:r>
          </w:p>
        </w:tc>
        <w:tc>
          <w:tcPr>
            <w:tcW w:w="7937" w:type="dxa"/>
            <w:vAlign w:val="top"/>
          </w:tcPr>
          <w:p>
            <w:pPr>
              <w:spacing w:before="81" w:line="258" w:lineRule="auto"/>
              <w:ind w:left="111" w:right="106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学前、普通高中和高等教育机构限于中外合作办学，须由中方主导（校长或者主要行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政负责人应当具有中国国籍，理事会、董事会或者联合管理委员会的中方组成人员不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得少于</w:t>
            </w:r>
            <w:r>
              <w:rPr>
                <w:rFonts w:ascii="宋体" w:hAnsi="宋体" w:eastAsia="宋体" w:cs="宋体"/>
                <w:spacing w:val="-2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1/2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54" w:type="dxa"/>
            <w:vAlign w:val="top"/>
          </w:tcPr>
          <w:p>
            <w:pPr>
              <w:spacing w:before="95" w:line="180" w:lineRule="auto"/>
              <w:ind w:firstLine="4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23</w:t>
            </w:r>
          </w:p>
        </w:tc>
        <w:tc>
          <w:tcPr>
            <w:tcW w:w="7937" w:type="dxa"/>
            <w:vAlign w:val="top"/>
          </w:tcPr>
          <w:p>
            <w:pPr>
              <w:spacing w:before="80" w:line="184" w:lineRule="auto"/>
              <w:ind w:firstLine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禁止投资义务教育机构、宗教教育机构。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791" w:type="dxa"/>
            <w:gridSpan w:val="2"/>
            <w:vAlign w:val="top"/>
          </w:tcPr>
          <w:p>
            <w:pPr>
              <w:spacing w:before="167" w:line="201" w:lineRule="auto"/>
              <w:ind w:firstLine="3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spacing w:val="-2"/>
                <w:sz w:val="24"/>
                <w:szCs w:val="24"/>
              </w:rPr>
              <w:t>十一、卫生和社会工作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854" w:type="dxa"/>
            <w:vAlign w:val="top"/>
          </w:tcPr>
          <w:p>
            <w:pPr>
              <w:spacing w:before="140" w:line="180" w:lineRule="auto"/>
              <w:ind w:firstLine="4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24</w:t>
            </w:r>
          </w:p>
        </w:tc>
        <w:tc>
          <w:tcPr>
            <w:tcW w:w="7937" w:type="dxa"/>
            <w:vAlign w:val="top"/>
          </w:tcPr>
          <w:p>
            <w:pPr>
              <w:spacing w:before="122" w:line="184" w:lineRule="auto"/>
              <w:ind w:firstLine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医疗机构限于合资。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791" w:type="dxa"/>
            <w:gridSpan w:val="2"/>
            <w:vAlign w:val="top"/>
          </w:tcPr>
          <w:p>
            <w:pPr>
              <w:spacing w:before="167" w:line="201" w:lineRule="auto"/>
              <w:ind w:firstLine="3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spacing w:val="-2"/>
                <w:sz w:val="24"/>
                <w:szCs w:val="24"/>
              </w:rPr>
              <w:t>十二、文化、体育和娱乐业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54" w:type="dxa"/>
            <w:vAlign w:val="top"/>
          </w:tcPr>
          <w:p>
            <w:pPr>
              <w:spacing w:before="96" w:line="180" w:lineRule="auto"/>
              <w:ind w:firstLine="4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25</w:t>
            </w:r>
          </w:p>
        </w:tc>
        <w:tc>
          <w:tcPr>
            <w:tcW w:w="7937" w:type="dxa"/>
            <w:vAlign w:val="top"/>
          </w:tcPr>
          <w:p>
            <w:pPr>
              <w:spacing w:before="79" w:line="184" w:lineRule="auto"/>
              <w:ind w:firstLine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禁止投资新闻机构（包括但不限于通讯社）。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54" w:type="dxa"/>
            <w:vAlign w:val="top"/>
          </w:tcPr>
          <w:p>
            <w:pPr>
              <w:spacing w:before="95" w:line="180" w:lineRule="auto"/>
              <w:ind w:firstLine="4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26</w:t>
            </w:r>
          </w:p>
        </w:tc>
        <w:tc>
          <w:tcPr>
            <w:tcW w:w="7937" w:type="dxa"/>
            <w:vAlign w:val="top"/>
          </w:tcPr>
          <w:p>
            <w:pPr>
              <w:spacing w:before="80" w:line="184" w:lineRule="auto"/>
              <w:ind w:firstLine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禁止投资图书、报纸、期刊、音像制品和电子出版物的编辑、出版、制作业务。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854" w:type="dxa"/>
            <w:vAlign w:val="top"/>
          </w:tcPr>
          <w:p>
            <w:pPr>
              <w:spacing w:line="454" w:lineRule="auto"/>
              <w:rPr>
                <w:rFonts w:ascii="宋体"/>
                <w:sz w:val="21"/>
              </w:rPr>
            </w:pPr>
          </w:p>
          <w:p>
            <w:pPr>
              <w:spacing w:before="60" w:line="180" w:lineRule="auto"/>
              <w:ind w:firstLine="4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27</w:t>
            </w:r>
          </w:p>
        </w:tc>
        <w:tc>
          <w:tcPr>
            <w:tcW w:w="7937" w:type="dxa"/>
            <w:vAlign w:val="top"/>
          </w:tcPr>
          <w:p>
            <w:pPr>
              <w:spacing w:before="79" w:line="257" w:lineRule="auto"/>
              <w:ind w:left="112" w:righ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禁止投资各级广播电台（站）、电视台（站）、广播电视频道（率）、广播电视传输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覆盖网（发射台、转播台、广播电视卫星、卫星上行站、卫星收转站、微波站、监测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台及有线广播电视传输覆盖网等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>）</w:t>
            </w:r>
            <w:r>
              <w:rPr>
                <w:rFonts w:ascii="宋体" w:hAnsi="宋体" w:eastAsia="宋体" w:cs="宋体"/>
                <w:spacing w:val="-2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禁止从事广播电视视频点播业务和卫星电视广播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地面接收设施安装服务。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54" w:type="dxa"/>
            <w:vAlign w:val="top"/>
          </w:tcPr>
          <w:p>
            <w:pPr>
              <w:spacing w:before="96" w:line="180" w:lineRule="auto"/>
              <w:ind w:firstLine="4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28</w:t>
            </w:r>
          </w:p>
        </w:tc>
        <w:tc>
          <w:tcPr>
            <w:tcW w:w="7937" w:type="dxa"/>
            <w:vAlign w:val="top"/>
          </w:tcPr>
          <w:p>
            <w:pPr>
              <w:spacing w:before="81" w:line="184" w:lineRule="auto"/>
              <w:ind w:firstLine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禁止投资广播电视节目制作经营（含引进业务）公司。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54" w:type="dxa"/>
            <w:vAlign w:val="top"/>
          </w:tcPr>
          <w:p>
            <w:pPr>
              <w:spacing w:before="98" w:line="180" w:lineRule="auto"/>
              <w:ind w:firstLine="4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29</w:t>
            </w:r>
          </w:p>
        </w:tc>
        <w:tc>
          <w:tcPr>
            <w:tcW w:w="7937" w:type="dxa"/>
            <w:vAlign w:val="top"/>
          </w:tcPr>
          <w:p>
            <w:pPr>
              <w:spacing w:before="80" w:line="184" w:lineRule="auto"/>
              <w:ind w:firstLine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禁止投资电影制作公司、发行公司、院线公司以及电影引进业务。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54" w:type="dxa"/>
            <w:vAlign w:val="top"/>
          </w:tcPr>
          <w:p>
            <w:pPr>
              <w:spacing w:before="96" w:line="180" w:lineRule="auto"/>
              <w:ind w:firstLine="4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30</w:t>
            </w:r>
          </w:p>
        </w:tc>
        <w:tc>
          <w:tcPr>
            <w:tcW w:w="7937" w:type="dxa"/>
            <w:vAlign w:val="top"/>
          </w:tcPr>
          <w:p>
            <w:pPr>
              <w:spacing w:before="81" w:line="184" w:lineRule="auto"/>
              <w:ind w:firstLine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禁止投资文物拍卖的拍卖公司、文物商店和国有文物博物馆。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54" w:type="dxa"/>
            <w:vAlign w:val="top"/>
          </w:tcPr>
          <w:p>
            <w:pPr>
              <w:spacing w:before="97" w:line="180" w:lineRule="auto"/>
              <w:ind w:firstLine="4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31</w:t>
            </w:r>
          </w:p>
        </w:tc>
        <w:tc>
          <w:tcPr>
            <w:tcW w:w="7937" w:type="dxa"/>
            <w:vAlign w:val="top"/>
          </w:tcPr>
          <w:p>
            <w:pPr>
              <w:spacing w:before="80" w:line="184" w:lineRule="auto"/>
              <w:ind w:firstLine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禁止投资文艺表演团体。</w:t>
            </w:r>
          </w:p>
        </w:tc>
      </w:tr>
    </w:tbl>
    <w:p>
      <w:pPr>
        <w:rPr>
          <w:rFonts w:ascii="宋体"/>
          <w:sz w:val="21"/>
        </w:rPr>
      </w:pPr>
    </w:p>
    <w:sectPr>
      <w:footerReference r:id="rId8" w:type="default"/>
      <w:pgSz w:w="11906" w:h="16839"/>
      <w:pgMar w:top="1431" w:right="1555" w:bottom="1748" w:left="1554" w:header="0" w:footer="15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  <w:embedRegular r:id="rId1" w:fontKey="{271CC6FE-7900-4EB8-8EDD-BD66B368EF8A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66FC352-223A-4216-B43F-BF383DAB6E78}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05F97D5-4C62-4D3B-B77C-3D9A0D2B10D5}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mdtSymbols">
    <w:panose1 w:val="02000500000000020004"/>
    <w:charset w:val="00"/>
    <w:family w:val="auto"/>
    <w:pitch w:val="default"/>
    <w:sig w:usb0="00000001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3614F6C-39EB-4433-9CDF-BC72FF43DD9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40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position w:val="-4"/>
        <w:sz w:val="28"/>
        <w:szCs w:val="28"/>
      </w:rPr>
      <w:t>—</w:t>
    </w:r>
    <w:r>
      <w:rPr>
        <w:rFonts w:ascii="宋体" w:hAnsi="宋体" w:eastAsia="宋体" w:cs="宋体"/>
        <w:spacing w:val="33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4"/>
        <w:position w:val="-4"/>
        <w:sz w:val="28"/>
        <w:szCs w:val="28"/>
      </w:rPr>
      <w:t>1</w:t>
    </w:r>
    <w:r>
      <w:rPr>
        <w:rFonts w:ascii="Times New Roman" w:hAnsi="Times New Roman" w:eastAsia="Times New Roman" w:cs="Times New Roman"/>
        <w:spacing w:val="4"/>
        <w:w w:val="101"/>
        <w:position w:val="-4"/>
        <w:sz w:val="28"/>
        <w:szCs w:val="28"/>
      </w:rPr>
      <w:t xml:space="preserve">  </w:t>
    </w:r>
    <w:r>
      <w:rPr>
        <w:rFonts w:ascii="宋体" w:hAnsi="宋体" w:eastAsia="宋体" w:cs="宋体"/>
        <w:spacing w:val="-14"/>
        <w:position w:val="-4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404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position w:val="-4"/>
        <w:sz w:val="28"/>
        <w:szCs w:val="28"/>
      </w:rPr>
      <w:t>—</w:t>
    </w:r>
    <w:r>
      <w:rPr>
        <w:rFonts w:ascii="宋体" w:hAnsi="宋体" w:eastAsia="宋体" w:cs="宋体"/>
        <w:spacing w:val="6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-4"/>
        <w:sz w:val="28"/>
        <w:szCs w:val="28"/>
      </w:rPr>
      <w:t>2</w:t>
    </w:r>
    <w:r>
      <w:rPr>
        <w:rFonts w:ascii="Times New Roman" w:hAnsi="Times New Roman" w:eastAsia="Times New Roman" w:cs="Times New Roman"/>
        <w:spacing w:val="4"/>
        <w:w w:val="101"/>
        <w:position w:val="-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position w:val="-4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41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12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position w:val="-4"/>
        <w:sz w:val="28"/>
        <w:szCs w:val="28"/>
      </w:rPr>
      <w:t>3</w:t>
    </w:r>
    <w:r>
      <w:rPr>
        <w:rFonts w:ascii="Times New Roman" w:hAnsi="Times New Roman" w:eastAsia="Times New Roman" w:cs="Times New Roman"/>
        <w:spacing w:val="4"/>
        <w:w w:val="101"/>
        <w:position w:val="-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41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3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position w:val="-4"/>
        <w:sz w:val="28"/>
        <w:szCs w:val="28"/>
      </w:rPr>
      <w:t>4</w:t>
    </w:r>
    <w:r>
      <w:rPr>
        <w:rFonts w:ascii="Times New Roman" w:hAnsi="Times New Roman" w:eastAsia="Times New Roman" w:cs="Times New Roman"/>
        <w:spacing w:val="4"/>
        <w:w w:val="101"/>
        <w:position w:val="-4"/>
        <w:sz w:val="28"/>
        <w:szCs w:val="28"/>
      </w:rPr>
      <w:t xml:space="preserve"> 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02B3D82"/>
    <w:rsid w:val="4175637E"/>
    <w:rsid w:val="43167196"/>
    <w:rsid w:val="50DC25B1"/>
    <w:rsid w:val="54BE5BE6"/>
    <w:rsid w:val="5EDE1CB9"/>
    <w:rsid w:val="7AA942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ScaleCrop>false</ScaleCrop>
  <LinksUpToDate>false</LinksUpToDate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2021-12-27T12:55:00Z</dcterms:created>
  <dc:creator>程建林</dc:creator>
  <cp:lastModifiedBy>浩</cp:lastModifiedBy>
  <dcterms:modified xsi:type="dcterms:W3CDTF">2022-01-06T02:05:30Z</dcterms:modified>
  <dc:title>中华人民共和国国家发展和改革委员会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2022-01-06T09:39:59Z</vt:filetime>
  </property>
  <property fmtid="{D5CDD505-2E9C-101B-9397-08002B2CF9AE}" pid="4" name="KSOProductBuildVer">
    <vt:lpwstr>2052-11.1.0.10938</vt:lpwstr>
  </property>
  <property fmtid="{D5CDD505-2E9C-101B-9397-08002B2CF9AE}" pid="5" name="ICV">
    <vt:lpwstr>E0BED4E0F68C4C0199275BE8C2082A79</vt:lpwstr>
  </property>
</Properties>
</file>